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charts/_rels/chart2.xml.rels" ContentType="application/vnd.openxmlformats-package.relationships+xml"/>
  <Override PartName="/word/charts/chart4.xml" ContentType="application/vnd.openxmlformats-officedocument.drawingml.chart+xml"/>
  <Override PartName="/word/charts/chart3.xml" ContentType="application/vnd.openxmlformats-officedocument.drawingml.chart+xml"/>
  <Override PartName="/word/media/image6.png" ContentType="image/png"/>
  <Override PartName="/word/media/image5.wmf" ContentType="image/x-wmf"/>
  <Override PartName="/word/media/image3.png" ContentType="image/png"/>
  <Override PartName="/word/media/image8.png" ContentType="image/png"/>
  <Override PartName="/word/media/image1.png" ContentType="image/png"/>
  <Override PartName="/word/media/image9.png" ContentType="image/png"/>
  <Override PartName="/word/media/image7.wmf" ContentType="image/x-wmf"/>
  <Override PartName="/word/media/image2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keepNext w:val="true"/>
        <w:keepLines/>
        <w:spacing w:before="480" w:after="0"/>
        <w:rPr/>
      </w:pPr>
      <w:r>
        <w:rPr/>
        <w:drawing>
          <wp:anchor behindDoc="1" distT="0" distB="0" distL="0" distR="0" simplePos="0" locked="0" layoutInCell="0" allowOverlap="1" relativeHeight="13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50785" cy="10680700"/>
            <wp:effectExtent l="0" t="0" r="0" b="0"/>
            <wp:wrapNone/>
            <wp:docPr id="1" name="_x005F_x0000_s10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5F_x0000_s102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0" allowOverlap="1" relativeHeight="16">
                <wp:simplePos x="0" y="0"/>
                <wp:positionH relativeFrom="page">
                  <wp:posOffset>628015</wp:posOffset>
                </wp:positionH>
                <wp:positionV relativeFrom="paragraph">
                  <wp:posOffset>312420</wp:posOffset>
                </wp:positionV>
                <wp:extent cx="5895340" cy="1763395"/>
                <wp:effectExtent l="0" t="0" r="0" b="0"/>
                <wp:wrapNone/>
                <wp:docPr id="2" name="_x005F_x0000_s10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360" cy="17632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40" w:before="0" w:after="0"/>
                              <w:rPr>
                                <w:rFonts w:ascii="Times New Roman" w:hAnsi="Times New Roman" w:eastAsia="Kozuka Gothic Pro B"/>
                                <w:b/>
                                <w:color w:val="404040"/>
                                <w:sz w:val="60"/>
                                <w:szCs w:val="60"/>
                                <w:lang w:val="ru-RU"/>
                              </w:rPr>
                            </w:pPr>
                            <w:r>
                              <w:rPr>
                                <w:rFonts w:eastAsia="Kozuka Gothic Pro B" w:ascii="Times New Roman" w:hAnsi="Times New Roman"/>
                                <w:b/>
                                <w:color w:val="404040"/>
                                <w:sz w:val="60"/>
                                <w:szCs w:val="60"/>
                                <w:lang w:val="ru-RU"/>
                              </w:rPr>
                              <w:t>Инвестиционный обзор муниципального образования</w:t>
                            </w:r>
                          </w:p>
                          <w:p>
                            <w:pPr>
                              <w:pStyle w:val="Style19"/>
                              <w:spacing w:lineRule="auto" w:line="240" w:before="0" w:after="0"/>
                              <w:rPr>
                                <w:rFonts w:ascii="Times New Roman" w:hAnsi="Times New Roman" w:eastAsia="Kozuka Gothic Pro B"/>
                                <w:b/>
                                <w:color w:val="404040"/>
                                <w:sz w:val="60"/>
                                <w:szCs w:val="60"/>
                                <w:lang w:val="ru-RU"/>
                              </w:rPr>
                            </w:pPr>
                            <w:r>
                              <w:rPr>
                                <w:rFonts w:eastAsia="Kozuka Gothic Pro B" w:ascii="Times New Roman" w:hAnsi="Times New Roman"/>
                                <w:b/>
                                <w:color w:val="404040"/>
                                <w:sz w:val="60"/>
                                <w:szCs w:val="60"/>
                                <w:lang w:val="ru-RU"/>
                              </w:rPr>
                              <w:t>город Краснодар</w:t>
                            </w:r>
                          </w:p>
                          <w:p>
                            <w:pPr>
                              <w:pStyle w:val="Style19"/>
                              <w:jc w:val="center"/>
                              <w:rPr>
                                <w:rFonts w:eastAsia="Kozuka Gothic Pro B" w:cs="Calibri"/>
                                <w:b/>
                                <w:color w:val="404040"/>
                                <w:sz w:val="96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eastAsia="Kozuka Gothic Pro B" w:cs="Calibri"/>
                                <w:b/>
                                <w:color w:val="404040"/>
                                <w:sz w:val="96"/>
                                <w:szCs w:val="28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Style19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_x005F_x0000_s1028" path="m0,0l-2147483645,0l-2147483645,-2147483646l0,-2147483646xe" stroked="f" o:allowincell="f" style="position:absolute;margin-left:49.45pt;margin-top:24.6pt;width:464.15pt;height:138.8pt;mso-wrap-style:square;v-text-anchor:middle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Style19"/>
                        <w:spacing w:lineRule="auto" w:line="240" w:before="0" w:after="0"/>
                        <w:rPr>
                          <w:rFonts w:ascii="Times New Roman" w:hAnsi="Times New Roman" w:eastAsia="Kozuka Gothic Pro B"/>
                          <w:b/>
                          <w:color w:val="404040"/>
                          <w:sz w:val="60"/>
                          <w:szCs w:val="60"/>
                          <w:lang w:val="ru-RU"/>
                        </w:rPr>
                      </w:pPr>
                      <w:r>
                        <w:rPr>
                          <w:rFonts w:eastAsia="Kozuka Gothic Pro B" w:ascii="Times New Roman" w:hAnsi="Times New Roman"/>
                          <w:b/>
                          <w:color w:val="404040"/>
                          <w:sz w:val="60"/>
                          <w:szCs w:val="60"/>
                          <w:lang w:val="ru-RU"/>
                        </w:rPr>
                        <w:t>Инвестиционный обзор муниципального образования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rPr>
                          <w:rFonts w:ascii="Times New Roman" w:hAnsi="Times New Roman" w:eastAsia="Kozuka Gothic Pro B"/>
                          <w:b/>
                          <w:color w:val="404040"/>
                          <w:sz w:val="60"/>
                          <w:szCs w:val="60"/>
                          <w:lang w:val="ru-RU"/>
                        </w:rPr>
                      </w:pPr>
                      <w:r>
                        <w:rPr>
                          <w:rFonts w:eastAsia="Kozuka Gothic Pro B" w:ascii="Times New Roman" w:hAnsi="Times New Roman"/>
                          <w:b/>
                          <w:color w:val="404040"/>
                          <w:sz w:val="60"/>
                          <w:szCs w:val="60"/>
                          <w:lang w:val="ru-RU"/>
                        </w:rPr>
                        <w:t>город Краснодар</w:t>
                      </w:r>
                    </w:p>
                    <w:p>
                      <w:pPr>
                        <w:pStyle w:val="Style19"/>
                        <w:jc w:val="center"/>
                        <w:rPr>
                          <w:rFonts w:eastAsia="Kozuka Gothic Pro B" w:cs="Calibri"/>
                          <w:b/>
                          <w:color w:val="404040"/>
                          <w:sz w:val="96"/>
                          <w:szCs w:val="28"/>
                          <w:lang w:val="ru-RU"/>
                        </w:rPr>
                      </w:pPr>
                      <w:r>
                        <w:rPr>
                          <w:rFonts w:eastAsia="Kozuka Gothic Pro B" w:cs="Calibri"/>
                          <w:b/>
                          <w:color w:val="404040"/>
                          <w:sz w:val="96"/>
                          <w:szCs w:val="28"/>
                          <w:lang w:val="ru-RU"/>
                        </w:rPr>
                      </w:r>
                    </w:p>
                    <w:p>
                      <w:pPr>
                        <w:pStyle w:val="Style19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page">
                  <wp:posOffset>308610</wp:posOffset>
                </wp:positionH>
                <wp:positionV relativeFrom="paragraph">
                  <wp:posOffset>349250</wp:posOffset>
                </wp:positionV>
                <wp:extent cx="3294380" cy="1493520"/>
                <wp:effectExtent l="0" t="0" r="0" b="0"/>
                <wp:wrapNone/>
                <wp:docPr id="3" name="_x005F_x0000_s10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4360" cy="14936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Kozuka Gothic Pro B"/>
                                <w:b/>
                                <w:color w:val="404040"/>
                                <w:sz w:val="54"/>
                                <w:szCs w:val="54"/>
                                <w:lang w:val="ru-RU"/>
                              </w:rPr>
                            </w:pPr>
                            <w:r>
                              <w:rPr>
                                <w:rFonts w:eastAsia="Kozuka Gothic Pro B" w:ascii="Times New Roman" w:hAnsi="Times New Roman"/>
                                <w:b/>
                                <w:color w:val="404040"/>
                                <w:sz w:val="54"/>
                                <w:szCs w:val="54"/>
                                <w:lang w:val="ru-RU"/>
                              </w:rPr>
                              <w:t xml:space="preserve">по итогам </w:t>
                            </w:r>
                          </w:p>
                          <w:p>
                            <w:pPr>
                              <w:pStyle w:val="Style19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Kozuka Gothic Pro B"/>
                                <w:b/>
                                <w:color w:val="404040"/>
                                <w:sz w:val="54"/>
                                <w:szCs w:val="54"/>
                                <w:lang w:val="ru-RU"/>
                              </w:rPr>
                            </w:pPr>
                            <w:r>
                              <w:rPr>
                                <w:rFonts w:eastAsia="Kozuka Gothic Pro B" w:ascii="Times New Roman" w:hAnsi="Times New Roman"/>
                                <w:b/>
                                <w:color w:val="404040"/>
                                <w:sz w:val="54"/>
                                <w:szCs w:val="54"/>
                                <w:lang w:val="ru-RU"/>
                              </w:rPr>
                              <w:t xml:space="preserve">9 месяцев </w:t>
                            </w:r>
                          </w:p>
                          <w:p>
                            <w:pPr>
                              <w:pStyle w:val="Style19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Kozuka Gothic Pro B"/>
                                <w:b/>
                                <w:color w:val="404040"/>
                                <w:sz w:val="54"/>
                                <w:szCs w:val="54"/>
                                <w:lang w:val="ru-RU"/>
                              </w:rPr>
                            </w:pPr>
                            <w:r>
                              <w:rPr>
                                <w:rFonts w:eastAsia="Kozuka Gothic Pro B" w:ascii="Times New Roman" w:hAnsi="Times New Roman"/>
                                <w:b/>
                                <w:color w:val="404040"/>
                                <w:sz w:val="54"/>
                                <w:szCs w:val="54"/>
                                <w:lang w:val="ru-RU"/>
                              </w:rPr>
                              <w:t xml:space="preserve">2024 года </w:t>
                            </w:r>
                          </w:p>
                          <w:p>
                            <w:pPr>
                              <w:pStyle w:val="Style19"/>
                              <w:jc w:val="center"/>
                              <w:rPr>
                                <w:rFonts w:eastAsia="Kozuka Gothic Pro B" w:cs="Calibri"/>
                                <w:b/>
                                <w:color w:val="404040"/>
                                <w:sz w:val="36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eastAsia="Kozuka Gothic Pro B" w:cs="Calibri"/>
                                <w:b/>
                                <w:color w:val="404040"/>
                                <w:sz w:val="36"/>
                                <w:szCs w:val="28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Style19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_x005F_x0000_s1026" path="m0,0l-2147483645,0l-2147483645,-2147483646l0,-2147483646xe" stroked="f" o:allowincell="f" style="position:absolute;margin-left:24.3pt;margin-top:27.5pt;width:259.35pt;height:117.55pt;mso-wrap-style:square;v-text-anchor:middle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Kozuka Gothic Pro B"/>
                          <w:b/>
                          <w:color w:val="404040"/>
                          <w:sz w:val="54"/>
                          <w:szCs w:val="54"/>
                          <w:lang w:val="ru-RU"/>
                        </w:rPr>
                      </w:pPr>
                      <w:r>
                        <w:rPr>
                          <w:rFonts w:eastAsia="Kozuka Gothic Pro B" w:ascii="Times New Roman" w:hAnsi="Times New Roman"/>
                          <w:b/>
                          <w:color w:val="404040"/>
                          <w:sz w:val="54"/>
                          <w:szCs w:val="54"/>
                          <w:lang w:val="ru-RU"/>
                        </w:rPr>
                        <w:t xml:space="preserve">по итогам 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Kozuka Gothic Pro B"/>
                          <w:b/>
                          <w:color w:val="404040"/>
                          <w:sz w:val="54"/>
                          <w:szCs w:val="54"/>
                          <w:lang w:val="ru-RU"/>
                        </w:rPr>
                      </w:pPr>
                      <w:r>
                        <w:rPr>
                          <w:rFonts w:eastAsia="Kozuka Gothic Pro B" w:ascii="Times New Roman" w:hAnsi="Times New Roman"/>
                          <w:b/>
                          <w:color w:val="404040"/>
                          <w:sz w:val="54"/>
                          <w:szCs w:val="54"/>
                          <w:lang w:val="ru-RU"/>
                        </w:rPr>
                        <w:t xml:space="preserve">9 месяцев 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Kozuka Gothic Pro B"/>
                          <w:b/>
                          <w:color w:val="404040"/>
                          <w:sz w:val="54"/>
                          <w:szCs w:val="54"/>
                          <w:lang w:val="ru-RU"/>
                        </w:rPr>
                      </w:pPr>
                      <w:r>
                        <w:rPr>
                          <w:rFonts w:eastAsia="Kozuka Gothic Pro B" w:ascii="Times New Roman" w:hAnsi="Times New Roman"/>
                          <w:b/>
                          <w:color w:val="404040"/>
                          <w:sz w:val="54"/>
                          <w:szCs w:val="54"/>
                          <w:lang w:val="ru-RU"/>
                        </w:rPr>
                        <w:t xml:space="preserve">2024 года </w:t>
                      </w:r>
                    </w:p>
                    <w:p>
                      <w:pPr>
                        <w:pStyle w:val="Style19"/>
                        <w:jc w:val="center"/>
                        <w:rPr>
                          <w:rFonts w:eastAsia="Kozuka Gothic Pro B" w:cs="Calibri"/>
                          <w:b/>
                          <w:color w:val="404040"/>
                          <w:sz w:val="36"/>
                          <w:szCs w:val="28"/>
                          <w:lang w:val="ru-RU"/>
                        </w:rPr>
                      </w:pPr>
                      <w:r>
                        <w:rPr>
                          <w:rFonts w:eastAsia="Kozuka Gothic Pro B" w:cs="Calibri"/>
                          <w:b/>
                          <w:color w:val="404040"/>
                          <w:sz w:val="36"/>
                          <w:szCs w:val="28"/>
                          <w:lang w:val="ru-RU"/>
                        </w:rPr>
                      </w:r>
                    </w:p>
                    <w:p>
                      <w:pPr>
                        <w:pStyle w:val="Style19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ind w:firstLine="700"/>
        <w:jc w:val="center"/>
        <w:rPr>
          <w:rFonts w:ascii="Times New Roman" w:hAnsi="Times New Roman" w:eastAsia="Times New Roman"/>
          <w:b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val="ru-RU" w:eastAsia="ru-RU"/>
        </w:rPr>
        <w:t>Общая характеристика инвестиций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итогам 9 месяцев 2024 года, в соответствии с представленными данным Управления Федеральной службы государственной статистики по Краснодарскому краю и Республике Адыгея (Краснодарстата), объём инвестиций в основной капитал на территории муниципального образования город Краснодар по кругу средних и крупных предприятий составил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155,9 млрд руб.</w:t>
      </w:r>
      <w:r>
        <w:rPr>
          <w:rFonts w:ascii="Times New Roman" w:hAnsi="Times New Roman"/>
          <w:sz w:val="28"/>
          <w:szCs w:val="28"/>
          <w:lang w:val="ru-RU"/>
        </w:rPr>
        <w:t xml:space="preserve">, или </w:t>
      </w:r>
      <w:r>
        <w:rPr>
          <w:rFonts w:ascii="Times New Roman" w:hAnsi="Times New Roman"/>
          <w:b/>
          <w:sz w:val="28"/>
          <w:szCs w:val="28"/>
          <w:lang w:val="ru-RU"/>
        </w:rPr>
        <w:t>122,2%</w:t>
      </w:r>
      <w:r>
        <w:rPr>
          <w:rFonts w:ascii="Times New Roman" w:hAnsi="Times New Roman"/>
          <w:sz w:val="28"/>
          <w:szCs w:val="28"/>
          <w:lang w:val="ru-RU"/>
        </w:rPr>
        <w:t xml:space="preserve"> к соответствующим данным за предшествующий год.</w:t>
      </w:r>
    </w:p>
    <w:p>
      <w:pPr>
        <w:pStyle w:val="Normal"/>
        <w:spacing w:lineRule="auto" w:line="240" w:before="0" w:after="0"/>
        <w:ind w:firstLine="709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На территории Краснодарского края объем инвестиций за 9 месяцев 2024 года составил 509,5 млрд руб., при этом краевой темп роста по отношению к результату за соответствующий период прошлого года составил 110,4%.</w:t>
      </w:r>
      <w:r>
        <w:rPr>
          <w:rFonts w:ascii="Times New Roman" w:hAnsi="Times New Roman"/>
          <w:color w:val="C9211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Инвестиции муниципального образования город Краснодар в общекраевом объёме инвестиционных вложений составляют 30,6% и занимают 1 место среди городских округов и муниципальных районов Краснодарского края.  </w:t>
      </w:r>
    </w:p>
    <w:p>
      <w:pPr>
        <w:pStyle w:val="Normal"/>
        <w:spacing w:lineRule="auto" w:line="240" w:before="0" w:after="0"/>
        <w:ind w:firstLine="709"/>
        <w:jc w:val="both"/>
        <w:rPr>
          <w:color w:val="C9211E"/>
        </w:rPr>
      </w:pPr>
      <w:r>
        <w:rPr>
          <w:color w:val="C9211E"/>
        </w:rPr>
      </w:r>
    </w:p>
    <w:p>
      <w:pPr>
        <w:pStyle w:val="Normal"/>
        <w:spacing w:lineRule="auto" w:line="240" w:before="0" w:after="0"/>
        <w:ind w:firstLine="709"/>
        <w:jc w:val="both"/>
        <w:rPr>
          <w:color w:val="C9211E"/>
        </w:rPr>
      </w:pPr>
      <w:r>
        <w:rPr>
          <w:color w:val="C9211E"/>
        </w:rPr>
      </w:r>
    </w:p>
    <w:tbl>
      <w:tblPr>
        <w:tblW w:w="9601" w:type="dxa"/>
        <w:jc w:val="left"/>
        <w:tblInd w:w="-24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9"/>
        <w:gridCol w:w="3121"/>
      </w:tblGrid>
      <w:tr>
        <w:trPr/>
        <w:tc>
          <w:tcPr>
            <w:tcW w:w="6479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bidi w:val="0"/>
              <w:spacing w:lineRule="auto" w:line="240" w:before="0" w:after="0"/>
              <w:ind w:hanging="0" w:left="-283" w:right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Городские округа и муниципальные районы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bidi w:val="0"/>
              <w:spacing w:lineRule="auto" w:line="240" w:before="0" w:after="0"/>
              <w:ind w:hanging="0" w:left="-283" w:right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Краснодарского края с наибольшим объемом инвестиций, млн. руб.</w:t>
            </w:r>
          </w:p>
        </w:tc>
        <w:tc>
          <w:tcPr>
            <w:tcW w:w="3121" w:type="dxa"/>
            <w:tcBorders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42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Доля Краснодара в объеме инвестиций Краснодарского края, %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drawing>
          <wp:anchor behindDoc="0" distT="0" distB="0" distL="0" distR="0" simplePos="0" locked="0" layoutInCell="0" allowOverlap="1" relativeHeight="27">
            <wp:simplePos x="0" y="0"/>
            <wp:positionH relativeFrom="column">
              <wp:posOffset>3948430</wp:posOffset>
            </wp:positionH>
            <wp:positionV relativeFrom="paragraph">
              <wp:posOffset>99060</wp:posOffset>
            </wp:positionV>
            <wp:extent cx="2095500" cy="2481580"/>
            <wp:effectExtent l="0" t="0" r="0" b="0"/>
            <wp:wrapSquare wrapText="largest"/>
            <wp:docPr id="4" name="Изображение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7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48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26">
            <wp:simplePos x="0" y="0"/>
            <wp:positionH relativeFrom="column">
              <wp:posOffset>-180340</wp:posOffset>
            </wp:positionH>
            <wp:positionV relativeFrom="paragraph">
              <wp:posOffset>94615</wp:posOffset>
            </wp:positionV>
            <wp:extent cx="4129405" cy="2486025"/>
            <wp:effectExtent l="0" t="0" r="0" b="0"/>
            <wp:wrapSquare wrapText="largest"/>
            <wp:docPr id="5" name="Объект4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Существенное влияние на высокий темп роста объёма инвестиций за            9 месяцев 2024 года по отношению к аналогичному периоду прошлого года оказали такие крупные предприятия, как 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ООО «Инвестстрой»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  <w:br/>
        <w:t>ООО «Сельта», АО «Тандер», филиал ОАО «РЖД» филиал ПАО «Россети»,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 ООО «Лукойл-Кубаньэнерго», филиал ПАО «МТС», МУП «КТТУ», </w:t>
        <w:br/>
        <w:t xml:space="preserve">АО «Международный аэропорт «Краснодар» АО «Макр», ООО «ЮЗТС», ООО «СЗ-З «Юси Кубань», ООО «ВБ Кубань», ООО «Петрохлеб Кубань», ф-л ПАО «Ростелеком», АО «Электросети Кубани», ООО «Краснодар Водоканал», краснодарский ф-л ООО «Т2 Мобайл», вложившие свыше 1 млрд. руб.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За 3 квартала 2024 года было заключено 8 протоколов о намерениях по взаимодействию в сфере инвестиций на общую сумму </w:t>
        <w:br/>
        <w:t>6400 млн. руб., из них в социальной сфере - 1 инвестпроект, 1 инвестпроект - в отрасли топливно-энергетического хозяйства, 2 инвестпроекта - в потребительской сфере, в сфере сельского хозяйства - 1 инвестпроект и 3 проекта в промышленной отрасли. В результате реализации этих проектов город получит 416 рабочих мест.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before="0" w:after="200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before="0" w:after="200"/>
        <w:contextualSpacing/>
        <w:jc w:val="center"/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Источники инвестиций</w:t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before="0" w:after="200"/>
        <w:contextualSpacing/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Структура инвестиций в основной капитал по источникам финансирования за 9 месяцев 2024 года выглядит следующим образом: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- собственные средства –  104,8 млрд руб. или 67,2% от общего объема инвестиций;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- привлеченные средства – 51,0 млрд руб. или 32,8% от всего объема инвестиций города Краснодара за отчетный период.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Финансирование инвестиционных проектов  осуществляется в большей степени за счет собственных средств.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>Объём собственных средств повысился на 16,2 процентных пунктов по сравнению с аналогичным периодом прошлого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ascii="Times New Roman" w:hAnsi="Times New Roman"/>
          <w:color w:themeColor="text1" w:val="000000"/>
          <w:sz w:val="28"/>
          <w:szCs w:val="28"/>
          <w:lang w:val="ru-RU" w:eastAsia="ru-RU"/>
        </w:rPr>
        <w:t xml:space="preserve">Привлеченные средства формировались 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за счет бюджетных средств,  заемных средств других организаций, поступлений от кредитных организаций и прочих источников.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highlight w:val="green"/>
          <w:lang w:val="ru-RU"/>
        </w:rPr>
      </w:pPr>
      <w:r>
        <w:rPr>
          <w:rFonts w:ascii="Times New Roman" w:hAnsi="Times New Roman"/>
          <w:sz w:val="28"/>
          <w:szCs w:val="28"/>
          <w:highlight w:val="green"/>
          <w:lang w:val="ru-RU"/>
        </w:rPr>
      </w:r>
    </w:p>
    <w:p>
      <w:pPr>
        <w:pStyle w:val="Normal"/>
        <w:shd w:val="clear" w:color="auto" w:fill="FFFFFF"/>
        <w:spacing w:lineRule="auto" w:line="240" w:before="0" w:after="0"/>
        <w:ind w:firstLine="560"/>
        <w:jc w:val="center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val="ru-RU" w:eastAsia="ru-RU"/>
        </w:rPr>
        <w:t>Структура привлеченных средств за 9 месяцев 2024 и 2023 годов, %: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  </w:t>
      </w:r>
    </w:p>
    <w:p>
      <w:pPr>
        <w:pStyle w:val="Normal"/>
        <w:shd w:val="clear" w:color="auto" w:fill="FFFFFF"/>
        <w:spacing w:lineRule="auto" w:line="240" w:before="0" w:after="0"/>
        <w:ind w:firstLine="560"/>
        <w:jc w:val="center"/>
        <w:rPr>
          <w:rFonts w:ascii="Times New Roman" w:hAnsi="Times New Roman" w:eastAsia="Times New Roman"/>
          <w:b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val="ru-RU"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lang w:val="ru-RU" w:eastAsia="ru-RU"/>
        </w:rPr>
      </w:pPr>
      <w:r>
        <w:rPr>
          <w:lang w:val="ru-RU" w:eastAsia="ru-RU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rPr>
          <w:lang w:val="ru-RU" w:eastAsia="ru-RU"/>
        </w:rPr>
      </w:pPr>
      <w:r>
        <w:rPr>
          <w:lang w:val="ru-RU"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lang w:val="ru-RU" w:eastAsia="ru-RU"/>
        </w:rPr>
      </w:pPr>
      <w:r>
        <w:rPr>
          <w:lang w:val="ru-RU" w:eastAsia="ru-RU"/>
        </w:rPr>
        <w:drawing>
          <wp:anchor behindDoc="0" distT="0" distB="0" distL="0" distR="0" simplePos="0" locked="0" layoutInCell="0" allowOverlap="1" relativeHeight="24">
            <wp:simplePos x="0" y="0"/>
            <wp:positionH relativeFrom="column">
              <wp:posOffset>3437890</wp:posOffset>
            </wp:positionH>
            <wp:positionV relativeFrom="paragraph">
              <wp:posOffset>35560</wp:posOffset>
            </wp:positionV>
            <wp:extent cx="2667000" cy="2430145"/>
            <wp:effectExtent l="0" t="0" r="0" b="0"/>
            <wp:wrapSquare wrapText="largest"/>
            <wp:docPr id="6" name="Объект3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  <w:drawing>
          <wp:anchor behindDoc="0" distT="0" distB="0" distL="0" distR="0" simplePos="0" locked="0" layoutInCell="0" allowOverlap="1" relativeHeight="25">
            <wp:simplePos x="0" y="0"/>
            <wp:positionH relativeFrom="column">
              <wp:posOffset>-124460</wp:posOffset>
            </wp:positionH>
            <wp:positionV relativeFrom="paragraph">
              <wp:posOffset>36195</wp:posOffset>
            </wp:positionV>
            <wp:extent cx="3562985" cy="2430780"/>
            <wp:effectExtent l="0" t="0" r="0" b="0"/>
            <wp:wrapSquare wrapText="largest"/>
            <wp:docPr id="7" name="Объект2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В абсолютном выражении состав привлеченных средств можно рассмотреть в диаграмме ниже: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b/>
          <w:bCs/>
          <w:sz w:val="28"/>
          <w:szCs w:val="28"/>
          <w:highlight w:val="none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ascii="Times New Roman" w:hAnsi="Times New Roman"/>
          <w:b/>
          <w:sz w:val="28"/>
          <w:szCs w:val="28"/>
          <w:lang w:val="ru-RU" w:eastAsia="ru-RU"/>
        </w:rPr>
        <w:t xml:space="preserve">Структура привлеченных средств за 9 месяцев 2024 и 2023 годов,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b/>
          <w:bCs/>
          <w:sz w:val="28"/>
          <w:szCs w:val="28"/>
          <w:highlight w:val="none"/>
          <w:lang w:val="ru-RU"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val="ru-RU" w:eastAsia="ru-RU"/>
        </w:rPr>
        <w:t>млрд руб.: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lang w:val="ru-RU" w:eastAsia="ru-RU"/>
        </w:rPr>
      </w:pPr>
      <w:r>
        <w:rPr>
          <w:lang w:val="ru-RU"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drawing>
          <wp:anchor behindDoc="0" distT="0" distB="0" distL="0" distR="0" simplePos="0" locked="0" layoutInCell="0" allowOverlap="1" relativeHeight="2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77280" cy="2355215"/>
            <wp:effectExtent l="0" t="0" r="0" b="0"/>
            <wp:wrapSquare wrapText="largest"/>
            <wp:docPr id="8" name="Объект1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highlight w:val="none"/>
          <w:lang w:val="ru-RU" w:eastAsia="ru-RU"/>
        </w:rPr>
      </w:pPr>
      <w:bookmarkStart w:id="0" w:name="_GoBack"/>
      <w:r>
        <w:rPr>
          <w:rFonts w:eastAsia="Times New Roman" w:ascii="Times New Roman" w:hAnsi="Times New Roman"/>
          <w:sz w:val="28"/>
          <w:szCs w:val="28"/>
          <w:lang w:val="ru-RU" w:eastAsia="ru-RU"/>
        </w:rPr>
        <w:t>Привлеченные средства за 9 месяцев 2024 года по сравнению с                   9 месяцами 2023 года в абсолютных показателях не изменилась - 51 млрд руб, однако доля их в общем объёме относительно собственных средств инвесторов снизилась на 16 процентных пунктов и составляет 32,8%.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В представленной структуре привлеченных средств видно, что</w:t>
      </w:r>
      <w:r>
        <w:rPr>
          <w:rFonts w:ascii="Times New Roman" w:hAnsi="Times New Roman"/>
          <w:sz w:val="28"/>
          <w:szCs w:val="28"/>
          <w:lang w:val="ru-RU"/>
        </w:rPr>
        <w:t xml:space="preserve"> за 9 месяцев 2024 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 сравнении 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аналогичным периодом 2023 года п</w:t>
      </w:r>
      <w:r>
        <w:rPr>
          <w:rFonts w:ascii="Times New Roman" w:hAnsi="Times New Roman"/>
          <w:sz w:val="28"/>
          <w:szCs w:val="28"/>
        </w:rPr>
        <w:t>роисходит</w:t>
      </w:r>
      <w:r>
        <w:rPr>
          <w:rFonts w:ascii="Times New Roman" w:hAnsi="Times New Roman"/>
          <w:sz w:val="28"/>
          <w:szCs w:val="28"/>
          <w:lang w:val="ru-RU"/>
        </w:rPr>
        <w:t xml:space="preserve"> увеличение  заемных средств других организаций, снижение  бюджетных инвестиций,</w:t>
      </w:r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 кредиты банков  остались на том же уровне.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b/>
          <w:color w:val="FF0000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b/>
          <w:color w:val="FF0000"/>
          <w:sz w:val="28"/>
          <w:szCs w:val="28"/>
          <w:lang w:val="ru-RU"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  <w:lang w:val="ru-RU" w:eastAsia="ru-RU"/>
        </w:rPr>
        <w:t>Видовая структура инвестиций в основной капитал, %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val="ru-RU"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val="ru-RU" w:eastAsia="ru-RU"/>
        </w:rPr>
        <w:drawing>
          <wp:anchor behindDoc="0" distT="0" distB="0" distL="0" distR="0" simplePos="0" locked="0" layoutInCell="0" allowOverlap="1" relativeHeight="2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838700" cy="2733675"/>
            <wp:effectExtent l="0" t="0" r="0" b="0"/>
            <wp:wrapSquare wrapText="largest"/>
            <wp:docPr id="9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val="ru-RU"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val="ru-RU" w:eastAsia="ru-RU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val="ru-RU"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val="ru-RU" w:eastAsia="ru-RU"/>
        </w:rPr>
      </w:pPr>
      <w:r>
        <w:rPr>
          <w:rFonts w:eastAsia="Times New Roman" w:ascii="Times New Roman" w:hAnsi="Times New Roman"/>
          <w:sz w:val="24"/>
          <w:szCs w:val="24"/>
          <w:lang w:val="ru-RU" w:eastAsia="ru-RU"/>
        </w:rPr>
        <w:t xml:space="preserve">                        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val="ru-RU" w:eastAsia="ru-RU"/>
        </w:rPr>
      </w:pPr>
      <w:r>
        <w:rPr>
          <w:rFonts w:eastAsia="Times New Roman" w:ascii="Times New Roman" w:hAnsi="Times New Roman"/>
          <w:sz w:val="24"/>
          <w:szCs w:val="24"/>
          <w:lang w:val="ru-RU"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eastAsia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eastAsia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eastAsia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eastAsia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eastAsia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eastAsia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eastAsia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eastAsia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eastAsia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eastAsia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eastAsia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eastAsia="Times New Roman" w:ascii="Times New Roman" w:hAnsi="Times New Roman"/>
          <w:sz w:val="28"/>
          <w:szCs w:val="28"/>
          <w:highlight w:val="white"/>
        </w:rPr>
        <w:drawing>
          <wp:anchor behindDoc="0" distT="0" distB="0" distL="0" distR="0" simplePos="0" locked="0" layoutInCell="0" allowOverlap="1" relativeHeight="1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241165" cy="2396490"/>
            <wp:effectExtent l="0" t="0" r="0" b="0"/>
            <wp:wrapSquare wrapText="largest"/>
            <wp:docPr id="10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165" cy="239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eastAsia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eastAsia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eastAsia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eastAsia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eastAsia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eastAsia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eastAsia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eastAsia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eastAsia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eastAsia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eastAsia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eastAsia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eastAsia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eastAsia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eastAsia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За 9 месяцев 2024 года основные инвестиции были направлены на приобретение машин и оборудование, включая хозяйственный инвентарь и другие объекты, их доля составила 41,4% (64,6 млрд руб.). </w:t>
      </w:r>
      <w:r>
        <w:rPr>
          <w:rFonts w:eastAsia="Times New Roman" w:ascii="Times New Roman" w:hAnsi="Times New Roman"/>
          <w:sz w:val="28"/>
          <w:szCs w:val="28"/>
          <w:highlight w:val="white"/>
          <w:lang w:val="ru-RU" w:eastAsia="ru-RU"/>
        </w:rPr>
        <w:t>Данный показатель в относительных измерениях практически не претерпел изменений (-0,4%) по сравнению с аналогичным периодом 2023 года.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>На втором месте - строительство зданий (кроме жилых) и сооружений, включая расходы на улучшение земель с долей 37,5% или 58,4 млрд руб. (темпы роста показателя значительно снизились - на 17%).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Заметный рост инвестиций произошел в объекты интеллектуальной собственности – 8,0% по сравнению с аналогичным периодом предыдущего года. Сейчас доля этих инвестиции составляет 10,1% или 15,7 млрд.руб.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>Также за 9 месяцев 2024 увеличился темп роста по жилым зданиям и сооружениям с 1% до 8,3% (или 13 млрд руб.).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val="ru-RU"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val="ru-RU"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val="ru-RU"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val="ru-RU" w:eastAsia="ru-RU"/>
        </w:rPr>
        <w:t>Отраслевая структура инвестиций</w:t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По результатам проведенного сравнительного анализа отраслевой структуры инвестиций муниципального образования город Краснодар темп роста за 9 месяцев 2024 года по отношению к 9 месяцам 2023 года составил 122,2%.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Отраслевая структура инвестиций МО г. Краснодар, млрд.руб.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val="ru-RU"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val="ru-RU" w:eastAsia="ru-RU"/>
        </w:rPr>
        <w:drawing>
          <wp:anchor behindDoc="0" distT="0" distB="0" distL="0" distR="0" simplePos="0" locked="0" layoutInCell="0" allowOverlap="1" relativeHeight="1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2708275"/>
            <wp:effectExtent l="0" t="0" r="0" b="0"/>
            <wp:wrapSquare wrapText="largest"/>
            <wp:docPr id="11" name="Изображение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6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0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0"/>
        <w:ind w:hanging="0"/>
        <w:jc w:val="center"/>
        <w:rPr>
          <w:rFonts w:ascii="Times New Roman" w:hAnsi="Times New Roman" w:eastAsia="Times New Roman"/>
          <w:sz w:val="28"/>
          <w:szCs w:val="28"/>
          <w:highlight w:val="none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Темпы роста инвестиций по отраслям по результатам </w:t>
      </w:r>
    </w:p>
    <w:p>
      <w:pPr>
        <w:pStyle w:val="Normal"/>
        <w:spacing w:lineRule="auto" w:line="240" w:before="0" w:after="0"/>
        <w:ind w:hanging="0"/>
        <w:jc w:val="center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>9 месяцев 2024 года относительно 9 месяцев 2023 года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>Доля каждой отрасли в общем объеме инвестиций, %: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Cs/>
          <w:sz w:val="28"/>
          <w:szCs w:val="28"/>
          <w:highlight w:val="none"/>
          <w:lang w:val="ru-RU" w:eastAsia="ru-RU"/>
        </w:rPr>
      </w:pPr>
      <w:r>
        <w:drawing>
          <wp:anchor behindDoc="0" distT="0" distB="0" distL="0" distR="0" simplePos="0" locked="0" layoutInCell="0" allowOverlap="1" relativeHeight="20">
            <wp:simplePos x="0" y="0"/>
            <wp:positionH relativeFrom="column">
              <wp:posOffset>-431165</wp:posOffset>
            </wp:positionH>
            <wp:positionV relativeFrom="paragraph">
              <wp:posOffset>635</wp:posOffset>
            </wp:positionV>
            <wp:extent cx="4155440" cy="2672715"/>
            <wp:effectExtent l="0" t="0" r="0" b="0"/>
            <wp:wrapSquare wrapText="largest"/>
            <wp:docPr id="12" name="Изображение1 Копия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1 Копия 1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440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21">
            <wp:simplePos x="0" y="0"/>
            <wp:positionH relativeFrom="column">
              <wp:posOffset>3723640</wp:posOffset>
            </wp:positionH>
            <wp:positionV relativeFrom="paragraph">
              <wp:posOffset>635</wp:posOffset>
            </wp:positionV>
            <wp:extent cx="2426970" cy="2673985"/>
            <wp:effectExtent l="0" t="0" r="0" b="0"/>
            <wp:wrapSquare wrapText="left"/>
            <wp:docPr id="13" name="Изображение5 Копия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5 Копия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267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ascii="Times New Roman" w:hAnsi="Times New Roman"/>
          <w:b/>
          <w:bCs/>
          <w:sz w:val="28"/>
          <w:szCs w:val="28"/>
          <w:lang w:val="ru-RU" w:eastAsia="ru-RU"/>
        </w:rPr>
        <w:t>Анализ отраслевой структуры инвестиций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val="ru-RU" w:eastAsia="ru-RU"/>
        </w:rPr>
      </w:r>
    </w:p>
    <w:tbl>
      <w:tblPr>
        <w:tblW w:w="954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253"/>
        <w:gridCol w:w="1704"/>
        <w:gridCol w:w="1697"/>
        <w:gridCol w:w="1563"/>
        <w:gridCol w:w="1331"/>
      </w:tblGrid>
      <w:tr>
        <w:trPr>
          <w:trHeight w:val="876" w:hRule="atLeast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DCBB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val="ru-RU" w:eastAsia="ru-RU"/>
              </w:rPr>
              <w:t>Отрасли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DCBB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val="ru-RU" w:eastAsia="ru-RU"/>
              </w:rPr>
              <w:t>9 мес 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val="ru-RU" w:eastAsia="ru-RU"/>
              </w:rPr>
              <w:t>млрд руб.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DCBB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val="ru-RU" w:eastAsia="ru-RU"/>
              </w:rPr>
              <w:t>Темпы роста,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DCBB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val="ru-RU" w:eastAsia="ru-RU"/>
              </w:rPr>
              <w:t>9 мес 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val="ru-RU" w:eastAsia="ru-RU"/>
              </w:rPr>
              <w:t>млрд руб.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DCBB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val="ru-RU" w:eastAsia="ru-RU"/>
              </w:rPr>
              <w:t>Динамика показателей</w:t>
            </w:r>
          </w:p>
        </w:tc>
      </w:tr>
      <w:tr>
        <w:trPr>
          <w:trHeight w:val="417" w:hRule="atLeast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highlight w:val="white"/>
                <w:lang w:val="ru-RU" w:eastAsia="ru-RU"/>
              </w:rPr>
              <w:t>Сельское хозяйство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highlight w:val="white"/>
                <w:lang w:val="ru-RU"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В 1,6 раза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highlight w:val="white"/>
                <w:lang w:val="ru-RU" w:eastAsia="ru-RU"/>
              </w:rPr>
              <w:t>0,6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FF0000"/>
                <w:sz w:val="24"/>
                <w:szCs w:val="24"/>
                <w:highlight w:val="white"/>
              </w:rPr>
            </w:pPr>
            <w:r>
              <w:rPr/>
              <w:drawing>
                <wp:inline distT="0" distB="0" distL="0" distR="0">
                  <wp:extent cx="257175" cy="295275"/>
                  <wp:effectExtent l="0" t="0" r="0" b="0"/>
                  <wp:docPr id="14" name="_x005F_x0000_i1039 Копия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_x005F_x0000_i1039 Копия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17" w:hRule="atLeast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highlight w:val="white"/>
                <w:lang w:val="ru-RU" w:eastAsia="ru-RU"/>
              </w:rPr>
              <w:t>Промышленность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color w:val="FF0000"/>
                <w:sz w:val="24"/>
                <w:szCs w:val="24"/>
                <w:highlight w:val="white"/>
              </w:rPr>
            </w:pPr>
            <w:r>
              <w:rPr/>
              <w:drawing>
                <wp:inline distT="0" distB="0" distL="0" distR="0">
                  <wp:extent cx="257175" cy="295275"/>
                  <wp:effectExtent l="0" t="0" r="0" b="0"/>
                  <wp:docPr id="15" name="_x005F_x0000_i1042 Копия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_x005F_x0000_i1042 Копия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17" w:hRule="atLeast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highlight w:val="white"/>
                <w:lang w:val="ru-RU" w:eastAsia="ru-RU"/>
              </w:rPr>
              <w:t>ЖКХ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FF0000"/>
                <w:sz w:val="24"/>
                <w:szCs w:val="24"/>
                <w:highlight w:val="white"/>
              </w:rPr>
            </w:pPr>
            <w:r>
              <w:rPr/>
              <w:drawing>
                <wp:inline distT="0" distB="0" distL="0" distR="0">
                  <wp:extent cx="257175" cy="295275"/>
                  <wp:effectExtent l="0" t="0" r="0" b="0"/>
                  <wp:docPr id="16" name="Изображение2 Копия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Изображение2 Копия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17" w:hRule="atLeast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highlight w:val="white"/>
                <w:lang w:val="ru-RU" w:eastAsia="ru-RU"/>
              </w:rPr>
              <w:t>Строительство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В 1,7 раза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8,7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FF0000"/>
                <w:sz w:val="24"/>
                <w:szCs w:val="24"/>
                <w:highlight w:val="white"/>
              </w:rPr>
            </w:pPr>
            <w:r>
              <w:rPr/>
              <w:drawing>
                <wp:inline distT="0" distB="0" distL="0" distR="0">
                  <wp:extent cx="257175" cy="295275"/>
                  <wp:effectExtent l="0" t="0" r="0" b="0"/>
                  <wp:docPr id="17" name="Изображение3 Копия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Изображение3 Копия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17" w:hRule="atLeast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highlight w:val="white"/>
                <w:lang w:val="ru-RU" w:eastAsia="ru-RU"/>
              </w:rPr>
              <w:t>Торговля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37,6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В 2,1 раза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color w:val="FF0000"/>
                <w:sz w:val="24"/>
                <w:szCs w:val="24"/>
                <w:highlight w:val="white"/>
              </w:rPr>
            </w:pPr>
            <w:r>
              <w:rPr/>
              <w:drawing>
                <wp:inline distT="0" distB="0" distL="0" distR="0">
                  <wp:extent cx="257175" cy="295275"/>
                  <wp:effectExtent l="0" t="0" r="0" b="0"/>
                  <wp:docPr id="18" name="_x005F_x0000_i1043 Копия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_x005F_x0000_i1043 Копия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17" w:hRule="atLeast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highlight w:val="white"/>
                <w:lang w:val="ru-RU" w:eastAsia="ru-RU"/>
              </w:rPr>
              <w:t>Туризм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highlight w:val="white"/>
                <w:lang w:val="ru-RU" w:eastAsia="ru-RU"/>
              </w:rPr>
              <w:t>0,4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В 2 раза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highlight w:val="white"/>
                <w:lang w:val="ru-RU" w:eastAsia="ru-RU"/>
              </w:rPr>
              <w:t>0,2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FF0000"/>
                <w:sz w:val="24"/>
                <w:szCs w:val="24"/>
                <w:highlight w:val="white"/>
              </w:rPr>
            </w:pPr>
            <w:r>
              <w:rPr/>
              <w:drawing>
                <wp:inline distT="0" distB="0" distL="0" distR="0">
                  <wp:extent cx="257175" cy="295275"/>
                  <wp:effectExtent l="0" t="0" r="0" b="0"/>
                  <wp:docPr id="19" name="_x005F_x0000_i1044 Копия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_x005F_x0000_i1044 Копия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23" w:hRule="atLeast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highlight w:val="white"/>
                <w:lang w:val="ru-RU" w:eastAsia="ru-RU"/>
              </w:rPr>
              <w:t>Транспорт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highlight w:val="white"/>
                <w:lang w:val="ru-RU" w:eastAsia="ru-RU"/>
              </w:rPr>
              <w:t>В 4 раз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FF0000"/>
                <w:sz w:val="24"/>
                <w:szCs w:val="24"/>
                <w:highlight w:val="white"/>
              </w:rPr>
            </w:pPr>
            <w:r>
              <w:rPr/>
              <w:drawing>
                <wp:inline distT="0" distB="0" distL="0" distR="0">
                  <wp:extent cx="257175" cy="295275"/>
                  <wp:effectExtent l="0" t="0" r="0" b="0"/>
                  <wp:docPr id="20" name="_x005F_x0000_i1045 Копия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_x005F_x0000_i1045 Копия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0" w:hRule="atLeast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highlight w:val="white"/>
                <w:lang w:val="ru-RU" w:eastAsia="ru-RU"/>
              </w:rPr>
              <w:t>Связь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В 1,5 раза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62" w:leader="none"/>
                <w:tab w:val="left" w:pos="67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FF0000"/>
                <w:sz w:val="24"/>
                <w:szCs w:val="24"/>
                <w:highlight w:val="white"/>
              </w:rPr>
            </w:pPr>
            <w:r>
              <w:rPr/>
              <w:drawing>
                <wp:inline distT="0" distB="0" distL="0" distR="0">
                  <wp:extent cx="257175" cy="295275"/>
                  <wp:effectExtent l="0" t="0" r="0" b="0"/>
                  <wp:docPr id="21" name="_x005F_x0000_i1046 Копия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_x005F_x0000_i1046 Копия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98" w:hRule="atLeast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highlight w:val="white"/>
                <w:lang w:val="ru-RU" w:eastAsia="ru-RU"/>
              </w:rPr>
              <w:t>Финансовая деятельность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19,2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themeColor="text1" w:val="000000"/>
                <w:sz w:val="24"/>
                <w:szCs w:val="24"/>
                <w:highlight w:val="white"/>
              </w:rPr>
            </w:pPr>
            <w:r>
              <w:rPr>
                <w:rFonts w:eastAsia="Times New Roman" w:ascii="Times New Roman" w:hAnsi="Times New Roman"/>
                <w:color w:themeColor="text1"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15,8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color w:val="FF0000"/>
                <w:sz w:val="24"/>
                <w:szCs w:val="24"/>
                <w:highlight w:val="white"/>
              </w:rPr>
            </w:pPr>
            <w:r>
              <w:rPr/>
              <w:drawing>
                <wp:inline distT="0" distB="0" distL="0" distR="0">
                  <wp:extent cx="257175" cy="295275"/>
                  <wp:effectExtent l="0" t="0" r="0" b="0"/>
                  <wp:docPr id="22" name="_x005F_x0000_i1046 Копия 1 Копия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_x005F_x0000_i1046 Копия 1 Копия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96" w:hRule="atLeast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highlight w:val="white"/>
                <w:lang w:val="ru-RU" w:eastAsia="ru-RU"/>
              </w:rPr>
              <w:t>Социальная инфраструктура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В 1,2 раза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4,3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4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color w:val="FF0000"/>
                <w:sz w:val="24"/>
                <w:szCs w:val="24"/>
                <w:highlight w:val="white"/>
              </w:rPr>
            </w:pPr>
            <w:r>
              <w:rPr/>
              <w:drawing>
                <wp:inline distT="0" distB="0" distL="0" distR="0">
                  <wp:extent cx="257175" cy="295275"/>
                  <wp:effectExtent l="0" t="0" r="0" b="0"/>
                  <wp:docPr id="23" name="Изображение4 Копия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Изображение4 Копия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21" w:hRule="atLeast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highlight w:val="white"/>
                <w:lang w:val="ru-RU" w:eastAsia="ru-RU"/>
              </w:rPr>
              <w:t>прочее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36,6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themeColor="text1" w:val="000000"/>
                <w:sz w:val="24"/>
                <w:szCs w:val="24"/>
                <w:highlight w:val="white"/>
              </w:rPr>
            </w:pPr>
            <w:r>
              <w:rPr>
                <w:rFonts w:eastAsia="Times New Roman" w:ascii="Times New Roman" w:hAnsi="Times New Roman"/>
                <w:color w:themeColor="text1" w:val="000000"/>
                <w:sz w:val="24"/>
                <w:szCs w:val="24"/>
                <w:lang w:val="ru-RU" w:eastAsia="ru-RU"/>
              </w:rPr>
              <w:t>-13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FF0000"/>
                <w:sz w:val="24"/>
                <w:szCs w:val="24"/>
                <w:highlight w:val="white"/>
              </w:rPr>
            </w:pPr>
            <w:r>
              <w:rPr/>
              <w:drawing>
                <wp:inline distT="0" distB="0" distL="0" distR="0">
                  <wp:extent cx="276225" cy="304800"/>
                  <wp:effectExtent l="0" t="0" r="0" b="0"/>
                  <wp:docPr id="24" name="_x005F_x0000_i1049 Копия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_x005F_x0000_i1049 Копия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uto" w:line="240" w:before="0" w:after="0"/>
        <w:ind w:firstLine="560"/>
        <w:jc w:val="center"/>
        <w:rPr>
          <w:rFonts w:ascii="Times New Roman" w:hAnsi="Times New Roman" w:eastAsia="Times New Roman"/>
          <w:b/>
          <w:sz w:val="32"/>
          <w:szCs w:val="32"/>
          <w:lang w:val="ru-RU" w:eastAsia="ru-RU"/>
        </w:rPr>
      </w:pPr>
      <w:r>
        <w:rPr>
          <w:rFonts w:eastAsia="Times New Roman" w:ascii="Times New Roman" w:hAnsi="Times New Roman"/>
          <w:b/>
          <w:sz w:val="32"/>
          <w:szCs w:val="32"/>
          <w:lang w:val="ru-RU" w:eastAsia="ru-RU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Cs/>
          <w:sz w:val="28"/>
          <w:szCs w:val="28"/>
          <w:highlight w:val="none"/>
          <w:lang w:val="ru-RU"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val="ru-RU" w:eastAsia="ru-RU"/>
        </w:rPr>
        <w:t>Анализ отраслевой структуры инвестиций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/>
          <w:b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val="ru-RU"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  <w:lang w:val="ru-RU"/>
        </w:rPr>
        <w:t xml:space="preserve">По всем отраслям за 9 месяцев 2024 года произошел рост объема инвестиций по сравнению с аналогичным периодом 2023 года, за исключением отрасли </w:t>
      </w:r>
      <w:r>
        <w:rPr>
          <w:rFonts w:ascii="Times New Roman" w:hAnsi="Times New Roman"/>
          <w:b/>
          <w:color w:themeColor="text1" w:val="000000"/>
          <w:sz w:val="28"/>
          <w:szCs w:val="28"/>
          <w:lang w:val="ru-RU"/>
        </w:rPr>
        <w:t>«прочие»</w:t>
      </w:r>
      <w:r>
        <w:rPr>
          <w:rFonts w:ascii="Times New Roman" w:hAnsi="Times New Roman"/>
          <w:color w:themeColor="text1" w:val="000000"/>
          <w:sz w:val="28"/>
          <w:szCs w:val="28"/>
          <w:lang w:val="ru-RU"/>
        </w:rPr>
        <w:t xml:space="preserve"> (снижение на 13%), куда входит: 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firstLine="709" w:left="0"/>
        <w:jc w:val="both"/>
        <w:rPr>
          <w:rFonts w:ascii="Times New Roman" w:hAnsi="Times New Roman" w:eastAsia="Times New Roman"/>
          <w:color w:themeColor="text1" w:val="000000"/>
          <w:sz w:val="28"/>
          <w:szCs w:val="28"/>
        </w:rPr>
      </w:pPr>
      <w:r>
        <w:rPr>
          <w:rFonts w:eastAsia="Times New Roman" w:ascii="Times New Roman" w:hAnsi="Times New Roman"/>
          <w:color w:themeColor="text1" w:val="000000"/>
          <w:sz w:val="28"/>
          <w:szCs w:val="28"/>
          <w:lang w:val="ru-RU" w:eastAsia="ru-RU"/>
        </w:rPr>
        <w:t xml:space="preserve">«Научные исследования и разработки», 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firstLine="709" w:left="0"/>
        <w:jc w:val="both"/>
        <w:rPr>
          <w:rFonts w:ascii="Times New Roman" w:hAnsi="Times New Roman" w:eastAsia="Times New Roman"/>
          <w:color w:themeColor="text1" w:val="000000"/>
          <w:sz w:val="28"/>
          <w:szCs w:val="28"/>
        </w:rPr>
      </w:pPr>
      <w:r>
        <w:rPr>
          <w:rFonts w:eastAsia="Times New Roman" w:ascii="Times New Roman" w:hAnsi="Times New Roman"/>
          <w:color w:themeColor="text1" w:val="000000"/>
          <w:sz w:val="28"/>
          <w:szCs w:val="28"/>
          <w:lang w:val="ru-RU" w:eastAsia="ru-RU"/>
        </w:rPr>
        <w:t xml:space="preserve">«Аренда и лизинг», 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firstLine="709" w:left="0"/>
        <w:jc w:val="both"/>
        <w:rPr>
          <w:rFonts w:ascii="Times New Roman" w:hAnsi="Times New Roman" w:eastAsia="Times New Roman"/>
          <w:color w:themeColor="text1" w:val="000000"/>
          <w:sz w:val="28"/>
          <w:szCs w:val="28"/>
        </w:rPr>
      </w:pPr>
      <w:r>
        <w:rPr>
          <w:rFonts w:eastAsia="Times New Roman" w:ascii="Times New Roman" w:hAnsi="Times New Roman"/>
          <w:color w:themeColor="text1" w:val="000000"/>
          <w:sz w:val="28"/>
          <w:szCs w:val="28"/>
          <w:lang w:val="ru-RU" w:eastAsia="ru-RU"/>
        </w:rPr>
        <w:t xml:space="preserve">«государственное управление, обеспечение военной безопасности и социальное обеспечение».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</w:rPr>
        <w:t>аибольши</w:t>
      </w:r>
      <w:r>
        <w:rPr>
          <w:rFonts w:ascii="Times New Roman" w:hAnsi="Times New Roman"/>
          <w:sz w:val="28"/>
          <w:szCs w:val="28"/>
          <w:lang w:val="ru-RU"/>
        </w:rPr>
        <w:t>й</w:t>
      </w:r>
      <w:r>
        <w:rPr>
          <w:rFonts w:ascii="Times New Roman" w:hAnsi="Times New Roman"/>
          <w:sz w:val="28"/>
          <w:szCs w:val="28"/>
        </w:rPr>
        <w:t xml:space="preserve"> объем инвестиций в муниципальном образовании город Краснодар за 9 месяцев</w:t>
      </w:r>
      <w:r>
        <w:rPr>
          <w:rFonts w:ascii="Times New Roman" w:hAnsi="Times New Roman"/>
          <w:sz w:val="28"/>
          <w:szCs w:val="28"/>
          <w:lang w:val="ru-RU"/>
        </w:rPr>
        <w:t xml:space="preserve"> 2024 года </w:t>
      </w:r>
      <w:r>
        <w:rPr>
          <w:rFonts w:ascii="Times New Roman" w:hAnsi="Times New Roman"/>
          <w:sz w:val="28"/>
          <w:szCs w:val="28"/>
        </w:rPr>
        <w:t>направ</w:t>
      </w:r>
      <w:r>
        <w:rPr>
          <w:rFonts w:ascii="Times New Roman" w:hAnsi="Times New Roman"/>
          <w:sz w:val="28"/>
          <w:szCs w:val="28"/>
          <w:lang w:val="ru-RU"/>
        </w:rPr>
        <w:t xml:space="preserve">лен в отрасль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«Торговля»</w:t>
      </w:r>
      <w:r>
        <w:rPr>
          <w:rFonts w:ascii="Times New Roman" w:hAnsi="Times New Roman"/>
          <w:sz w:val="28"/>
          <w:szCs w:val="28"/>
          <w:lang w:val="ru-RU"/>
        </w:rPr>
        <w:t>, рост составил в 2,1 раза,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доля рынка увеличилась с 15,8% до 24,1%.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  <w:lang w:val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Второе место из основных видов отраслей занимает</w:t>
      </w:r>
      <w:r>
        <w:rPr>
          <w:rFonts w:eastAsia="Times New Roman"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eastAsia="Times New Roman" w:ascii="Times New Roman" w:hAnsi="Times New Roman"/>
          <w:b/>
          <w:color w:val="000000"/>
          <w:sz w:val="28"/>
          <w:szCs w:val="28"/>
          <w:lang w:eastAsia="ru-RU"/>
        </w:rPr>
        <w:t>«Финансовая деятельность»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Показатель увеличился на 22% по отношению к аналогичному периоду 2023 года. Однако доля снизилась с 13,9% на 12,3%.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Далее отрасль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«Транспорт»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это рекорд по темпу роста инвестиций, увеличение составило в 4 раза по отношению к предыдущему периоду. Доля отрасли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 9 месяцев</w:t>
      </w:r>
      <w:r>
        <w:rPr>
          <w:rFonts w:ascii="Times New Roman" w:hAnsi="Times New Roman"/>
          <w:sz w:val="28"/>
          <w:szCs w:val="28"/>
        </w:rPr>
        <w:t xml:space="preserve"> 2024 год</w:t>
      </w:r>
      <w:r>
        <w:rPr>
          <w:rFonts w:ascii="Times New Roman" w:hAnsi="Times New Roman"/>
          <w:sz w:val="28"/>
          <w:szCs w:val="28"/>
          <w:lang w:val="ru-RU"/>
        </w:rPr>
        <w:t>а тоже значительно увеличилась и составила 10,2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%, против 3.5% в аналогичном периоде прошлого года.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val="ru-RU" w:eastAsia="ru-RU"/>
        </w:rPr>
        <w:t>«Строительная отрасль</w:t>
      </w:r>
      <w:r>
        <w:rPr>
          <w:rFonts w:eastAsia="Times New Roman" w:ascii="Times New Roman" w:hAnsi="Times New Roman"/>
          <w:b/>
          <w:color w:themeColor="text1" w:val="000000"/>
          <w:sz w:val="28"/>
          <w:szCs w:val="28"/>
          <w:lang w:val="ru-RU" w:eastAsia="ru-RU"/>
        </w:rPr>
        <w:t>»</w:t>
      </w:r>
      <w:r>
        <w:rPr>
          <w:rFonts w:eastAsia="Times New Roman" w:ascii="Times New Roman" w:hAnsi="Times New Roman"/>
          <w:color w:themeColor="text1" w:val="000000"/>
          <w:sz w:val="28"/>
          <w:szCs w:val="28"/>
          <w:lang w:val="ru-RU"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объем инвестиций</w:t>
      </w:r>
      <w:r>
        <w:rPr>
          <w:rFonts w:eastAsia="Times New Roman" w:ascii="Times New Roman" w:hAnsi="Times New Roman"/>
          <w:b/>
          <w:color w:themeColor="text1" w:val="000000"/>
          <w:sz w:val="28"/>
          <w:szCs w:val="28"/>
          <w:lang w:val="ru-RU" w:eastAsia="ru-RU"/>
        </w:rPr>
        <w:t xml:space="preserve"> </w:t>
      </w:r>
      <w:r>
        <w:rPr>
          <w:rFonts w:eastAsia="Times New Roman" w:ascii="Times New Roman" w:hAnsi="Times New Roman"/>
          <w:color w:themeColor="text1" w:val="000000"/>
          <w:sz w:val="28"/>
          <w:szCs w:val="28"/>
          <w:lang w:val="ru-RU" w:eastAsia="ru-RU"/>
        </w:rPr>
        <w:t>увеличился в 1,7 раза, а доля составляет 9,6% против 7,7%</w:t>
      </w:r>
      <w:r>
        <w:rPr>
          <w:rFonts w:ascii="Times New Roman" w:hAnsi="Times New Roman"/>
          <w:color w:themeColor="text1" w:val="000000"/>
          <w:sz w:val="28"/>
          <w:szCs w:val="28"/>
          <w:lang w:val="ru-RU"/>
        </w:rPr>
        <w:t xml:space="preserve"> в аналогичном периоде прошлого года.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  <w:lang w:val="ru-RU"/>
        </w:rPr>
      </w:pPr>
      <w:r>
        <w:rPr>
          <w:rFonts w:ascii="Times New Roman" w:hAnsi="Times New Roman"/>
          <w:color w:themeColor="text1" w:val="000000"/>
          <w:sz w:val="28"/>
          <w:szCs w:val="28"/>
          <w:lang w:val="ru-RU" w:eastAsia="ru-RU"/>
        </w:rPr>
        <w:t>Инвестиции в о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трасли </w:t>
      </w:r>
      <w:r>
        <w:rPr>
          <w:rFonts w:eastAsia="Times New Roman" w:ascii="Times New Roman" w:hAnsi="Times New Roman"/>
          <w:b/>
          <w:bCs/>
          <w:sz w:val="28"/>
          <w:szCs w:val="28"/>
          <w:lang w:val="ru-RU" w:eastAsia="ru-RU"/>
        </w:rPr>
        <w:t xml:space="preserve">«ЖКХ» </w:t>
      </w:r>
      <w:r>
        <w:rPr>
          <w:rFonts w:eastAsia="Calibri" w:cs="Times New Roman" w:ascii="Times New Roman" w:hAnsi="Times New Roman"/>
          <w:color w:themeColor="text1" w:val="000000"/>
          <w:kern w:val="0"/>
          <w:sz w:val="28"/>
          <w:szCs w:val="28"/>
          <w:lang w:val="ru-RU" w:eastAsia="en-US" w:bidi="ar-SA"/>
        </w:rPr>
        <w:t>по темпу роста увеличились на 19%</w:t>
      </w:r>
      <w:r>
        <w:rPr>
          <w:rFonts w:ascii="Times New Roman" w:hAnsi="Times New Roman"/>
          <w:color w:themeColor="text1" w:val="000000"/>
          <w:sz w:val="28"/>
          <w:szCs w:val="28"/>
          <w:lang w:val="ru-RU" w:eastAsia="ru-RU"/>
        </w:rPr>
        <w:t>, однако доля рынка отрасли уменьшилась с 7,9% до 6,9% в отчетном периоде этого года.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themeColor="text1" w:val="000000"/>
          <w:sz w:val="28"/>
          <w:szCs w:val="28"/>
          <w:lang w:val="ru-RU"/>
        </w:rPr>
        <w:t>«Связь»</w:t>
      </w:r>
      <w:r>
        <w:rPr>
          <w:rFonts w:ascii="Times New Roman" w:hAnsi="Times New Roman"/>
          <w:color w:themeColor="text1" w:val="000000"/>
          <w:sz w:val="28"/>
          <w:szCs w:val="28"/>
          <w:lang w:val="ru-RU"/>
        </w:rPr>
        <w:t xml:space="preserve"> – рост инвестиций в абсолютных показателях произошел в 1,5 раза, доля от</w:t>
      </w:r>
      <w:r>
        <w:rPr>
          <w:rFonts w:ascii="Times New Roman" w:hAnsi="Times New Roman"/>
          <w:sz w:val="28"/>
          <w:szCs w:val="28"/>
          <w:lang w:val="ru-RU"/>
        </w:rPr>
        <w:t xml:space="preserve">расли в общем объеме инвестиций незначительно увеличилась по сравнению с прошлым периодом 2023 года на 0,3% и стала 5,7%.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val="ru-RU" w:eastAsia="ru-RU"/>
        </w:rPr>
        <w:t>«Промышленность»,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 несмотря на то что в абсолютных показателях рост по отрасли составил 10%, в целом доля отрасли в общем объеме инвестиций снизилась с 4,4% до 3,5% за 9 месяцев 2024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>В «</w:t>
      </w:r>
      <w:r>
        <w:rPr>
          <w:rFonts w:eastAsia="Times New Roman" w:ascii="Times New Roman" w:hAnsi="Times New Roman"/>
          <w:b/>
          <w:sz w:val="28"/>
          <w:szCs w:val="28"/>
          <w:lang w:val="ru-RU" w:eastAsia="ru-RU"/>
        </w:rPr>
        <w:t>Социальная инфраструктура»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,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также произошло снижение доли в общем объеме инвестиций с 3,8% до 3,3%, несмотря на то, что в целом отрасль демонстрирует рост в 1,2 раза, в том числе: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>- подраздел «Образование» увеличился на 43%;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>- подраздел «Здравоохранение» снизился на 12%;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>- подраздел «Культура» увеличился на 62%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>Рост инвестиций показала в отчетном периоде отрасль</w:t>
      </w:r>
      <w:r>
        <w:rPr>
          <w:rFonts w:eastAsia="Times New Roman" w:ascii="Times New Roman" w:hAnsi="Times New Roman"/>
          <w:b/>
          <w:sz w:val="28"/>
          <w:szCs w:val="28"/>
          <w:lang w:val="ru-RU" w:eastAsia="ru-RU"/>
        </w:rPr>
        <w:t xml:space="preserve"> «Сельское хозяйство» 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- 1,6 раза, несмотря на то что доля отрасли выросла всего на 0,1% и сегодня составляет 0,6%. 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Инвестиции в </w:t>
      </w:r>
      <w:r>
        <w:rPr>
          <w:rFonts w:eastAsia="Times New Roman" w:ascii="Times New Roman" w:hAnsi="Times New Roman"/>
          <w:b/>
          <w:bCs/>
          <w:sz w:val="28"/>
          <w:szCs w:val="28"/>
          <w:lang w:val="ru-RU" w:eastAsia="ru-RU"/>
        </w:rPr>
        <w:t xml:space="preserve">«Туризм» 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выросли в 2 раза и доля отрасли за 9 месяцев 2024 года  тоже выросла и составила 0,3% против 0,2% аналогичного периода прошлого года.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themeColor="text1" w:val="000000"/>
          <w:sz w:val="28"/>
          <w:szCs w:val="28"/>
          <w:lang w:val="ru-RU"/>
        </w:rPr>
        <w:t>Дополнительно информируем, на официальном сайте Вы также можете найти обновленный перечень инвестиционных проектов, реализуемых или планируемых к реализации на территории города, сведения о незадействованных промышленных площадках и неиспользуемых земельных участках для предложений их потенциальным инвесторам под реализацию проектов.</w:t>
      </w:r>
    </w:p>
    <w:sectPr>
      <w:headerReference w:type="default" r:id="rId24"/>
      <w:type w:val="nextPage"/>
      <w:pgSz w:w="11906" w:h="16838"/>
      <w:pgMar w:left="1701" w:right="850" w:gutter="0" w:header="709" w:top="1134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8</w:t>
    </w:r>
    <w:r>
      <w:rPr>
        <w:sz w:val="28"/>
        <w:szCs w:val="28"/>
        <w:rFonts w:ascii="Times New Roman" w:hAnsi="Times New Roman"/>
      </w:rPr>
      <w:fldChar w:fldCharType="end"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themeColor="text1"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keepLines/>
      <w:spacing w:before="480" w:after="0"/>
      <w:outlineLvl w:val="0"/>
    </w:pPr>
    <w:rPr>
      <w:rFonts w:ascii="Calibri Light" w:hAnsi="Calibri Light" w:eastAsia="Arial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2Char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uiPriority w:val="10"/>
    <w:qFormat/>
    <w:rPr>
      <w:sz w:val="48"/>
      <w:szCs w:val="48"/>
    </w:rPr>
  </w:style>
  <w:style w:type="character" w:styleId="SubtitleChar" w:customStyle="1">
    <w:name w:val="Subtitle Char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6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8" w:customStyle="1">
    <w:name w:val="Название Знак"/>
    <w:uiPriority w:val="10"/>
    <w:qFormat/>
    <w:rPr>
      <w:sz w:val="48"/>
      <w:szCs w:val="48"/>
    </w:rPr>
  </w:style>
  <w:style w:type="character" w:styleId="Style9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10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11" w:customStyle="1">
    <w:name w:val="Текст сноски Знак"/>
    <w:uiPriority w:val="99"/>
    <w:qFormat/>
    <w:rPr>
      <w:sz w:val="18"/>
    </w:rPr>
  </w:style>
  <w:style w:type="character" w:styleId="Style12" w:customStyle="1">
    <w:name w:val="Текст концевой сноски Знак"/>
    <w:uiPriority w:val="99"/>
    <w:qFormat/>
    <w:rPr>
      <w:sz w:val="20"/>
    </w:rPr>
  </w:style>
  <w:style w:type="character" w:styleId="Style13" w:customStyle="1">
    <w:name w:val="Верхний колонтитул Знак"/>
    <w:uiPriority w:val="99"/>
    <w:qFormat/>
    <w:rPr>
      <w:lang w:val="uk-UA"/>
    </w:rPr>
  </w:style>
  <w:style w:type="character" w:styleId="Style14" w:customStyle="1">
    <w:name w:val="Нижний колонтитул Знак"/>
    <w:uiPriority w:val="99"/>
    <w:qFormat/>
    <w:rPr>
      <w:lang w:val="uk-UA"/>
    </w:rPr>
  </w:style>
  <w:style w:type="character" w:styleId="Style15" w:customStyle="1">
    <w:name w:val="Текст выноски Знак"/>
    <w:link w:val="BalloonText"/>
    <w:uiPriority w:val="99"/>
    <w:semiHidden/>
    <w:qFormat/>
    <w:rPr>
      <w:rFonts w:ascii="Tahoma" w:hAnsi="Tahoma" w:cs="Tahoma"/>
      <w:sz w:val="16"/>
      <w:szCs w:val="16"/>
      <w:lang w:val="uk-UA"/>
    </w:rPr>
  </w:style>
  <w:style w:type="character" w:styleId="1" w:customStyle="1">
    <w:name w:val="Заголовок 1 Знак"/>
    <w:uiPriority w:val="9"/>
    <w:qFormat/>
    <w:rPr>
      <w:rFonts w:ascii="Calibri Light" w:hAnsi="Calibri Light" w:eastAsia="Arial" w:cs="Times New Roman"/>
      <w:b/>
      <w:bCs/>
      <w:color w:val="2E74B5"/>
      <w:sz w:val="28"/>
      <w:szCs w:val="28"/>
      <w:lang w:val="uk-UA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 w:customStyle="1">
    <w:name w:val="Caption"/>
    <w:basedOn w:val="Normal"/>
    <w:next w:val="Normal"/>
    <w:link w:val="Style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9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1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Style11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Style12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6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="0"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702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"/>
    <w:basedOn w:val="702"/>
    <w:uiPriority w:val="59"/>
  </w:style>
  <w:style w:type="table" w:customStyle="1" w:styleId="761">
    <w:name w:val="Table Grid Light"/>
    <w:basedOn w:val="702"/>
    <w:uiPriority w:val="59"/>
  </w:style>
  <w:style w:type="table" w:styleId="762">
    <w:name w:val="Plain Table 1"/>
    <w:basedOn w:val="702"/>
    <w:uiPriority w:val="59"/>
  </w:style>
  <w:style w:type="table" w:styleId="763">
    <w:name w:val="Plain Table 2"/>
    <w:basedOn w:val="702"/>
    <w:uiPriority w:val="59"/>
  </w:style>
  <w:style w:type="table" w:styleId="764">
    <w:name w:val="Plain Table 3"/>
    <w:basedOn w:val="702"/>
    <w:uiPriority w:val="99"/>
  </w:style>
  <w:style w:type="table" w:styleId="765">
    <w:name w:val="Plain Table 4"/>
    <w:basedOn w:val="702"/>
    <w:uiPriority w:val="99"/>
  </w:style>
  <w:style w:type="table" w:styleId="766">
    <w:name w:val="Plain Table 5"/>
    <w:basedOn w:val="702"/>
    <w:uiPriority w:val="99"/>
  </w:style>
  <w:style w:type="table" w:styleId="767">
    <w:name w:val="Grid Table 1 Light"/>
    <w:basedOn w:val="702"/>
    <w:uiPriority w:val="99"/>
  </w:style>
  <w:style w:type="table" w:customStyle="1" w:styleId="768">
    <w:name w:val="Grid Table 1 Light - Accent 1"/>
    <w:basedOn w:val="702"/>
    <w:uiPriority w:val="99"/>
  </w:style>
  <w:style w:type="table" w:customStyle="1" w:styleId="769">
    <w:name w:val="Grid Table 1 Light - Accent 2"/>
    <w:basedOn w:val="702"/>
    <w:uiPriority w:val="99"/>
  </w:style>
  <w:style w:type="table" w:customStyle="1" w:styleId="770">
    <w:name w:val="Grid Table 1 Light - Accent 3"/>
    <w:basedOn w:val="702"/>
    <w:uiPriority w:val="99"/>
  </w:style>
  <w:style w:type="table" w:customStyle="1" w:styleId="771">
    <w:name w:val="Grid Table 1 Light - Accent 4"/>
    <w:basedOn w:val="702"/>
    <w:uiPriority w:val="99"/>
  </w:style>
  <w:style w:type="table" w:customStyle="1" w:styleId="772">
    <w:name w:val="Grid Table 1 Light - Accent 5"/>
    <w:basedOn w:val="702"/>
    <w:uiPriority w:val="99"/>
  </w:style>
  <w:style w:type="table" w:customStyle="1" w:styleId="773">
    <w:name w:val="Grid Table 1 Light - Accent 6"/>
    <w:basedOn w:val="702"/>
    <w:uiPriority w:val="99"/>
  </w:style>
  <w:style w:type="table" w:styleId="774">
    <w:name w:val="Grid Table 2"/>
    <w:basedOn w:val="702"/>
    <w:uiPriority w:val="99"/>
  </w:style>
  <w:style w:type="table" w:customStyle="1" w:styleId="775">
    <w:name w:val="Grid Table 2 - Accent 1"/>
    <w:basedOn w:val="702"/>
    <w:uiPriority w:val="99"/>
  </w:style>
  <w:style w:type="table" w:customStyle="1" w:styleId="776">
    <w:name w:val="Grid Table 2 - Accent 2"/>
    <w:basedOn w:val="702"/>
    <w:uiPriority w:val="99"/>
  </w:style>
  <w:style w:type="table" w:customStyle="1" w:styleId="777">
    <w:name w:val="Grid Table 2 - Accent 3"/>
    <w:basedOn w:val="702"/>
    <w:uiPriority w:val="99"/>
  </w:style>
  <w:style w:type="table" w:customStyle="1" w:styleId="778">
    <w:name w:val="Grid Table 2 - Accent 4"/>
    <w:basedOn w:val="702"/>
    <w:uiPriority w:val="99"/>
  </w:style>
  <w:style w:type="table" w:customStyle="1" w:styleId="779">
    <w:name w:val="Grid Table 2 - Accent 5"/>
    <w:basedOn w:val="702"/>
    <w:uiPriority w:val="99"/>
  </w:style>
  <w:style w:type="table" w:customStyle="1" w:styleId="780">
    <w:name w:val="Grid Table 2 - Accent 6"/>
    <w:basedOn w:val="702"/>
    <w:uiPriority w:val="99"/>
  </w:style>
  <w:style w:type="table" w:styleId="781">
    <w:name w:val="Grid Table 3"/>
    <w:basedOn w:val="702"/>
    <w:uiPriority w:val="99"/>
  </w:style>
  <w:style w:type="table" w:customStyle="1" w:styleId="782">
    <w:name w:val="Grid Table 3 - Accent 1"/>
    <w:basedOn w:val="702"/>
    <w:uiPriority w:val="99"/>
  </w:style>
  <w:style w:type="table" w:customStyle="1" w:styleId="783">
    <w:name w:val="Grid Table 3 - Accent 2"/>
    <w:basedOn w:val="702"/>
    <w:uiPriority w:val="99"/>
  </w:style>
  <w:style w:type="table" w:customStyle="1" w:styleId="784">
    <w:name w:val="Grid Table 3 - Accent 3"/>
    <w:basedOn w:val="702"/>
    <w:uiPriority w:val="99"/>
  </w:style>
  <w:style w:type="table" w:customStyle="1" w:styleId="785">
    <w:name w:val="Grid Table 3 - Accent 4"/>
    <w:basedOn w:val="702"/>
    <w:uiPriority w:val="99"/>
  </w:style>
  <w:style w:type="table" w:customStyle="1" w:styleId="786">
    <w:name w:val="Grid Table 3 - Accent 5"/>
    <w:basedOn w:val="702"/>
    <w:uiPriority w:val="99"/>
  </w:style>
  <w:style w:type="table" w:customStyle="1" w:styleId="787">
    <w:name w:val="Grid Table 3 - Accent 6"/>
    <w:basedOn w:val="702"/>
    <w:uiPriority w:val="99"/>
  </w:style>
  <w:style w:type="table" w:styleId="788">
    <w:name w:val="Grid Table 4"/>
    <w:basedOn w:val="702"/>
    <w:uiPriority w:val="59"/>
  </w:style>
  <w:style w:type="table" w:customStyle="1" w:styleId="789">
    <w:name w:val="Grid Table 4 - Accent 1"/>
    <w:basedOn w:val="702"/>
    <w:uiPriority w:val="59"/>
  </w:style>
  <w:style w:type="table" w:customStyle="1" w:styleId="790">
    <w:name w:val="Grid Table 4 - Accent 2"/>
    <w:basedOn w:val="702"/>
    <w:uiPriority w:val="59"/>
  </w:style>
  <w:style w:type="table" w:customStyle="1" w:styleId="791">
    <w:name w:val="Grid Table 4 - Accent 3"/>
    <w:basedOn w:val="702"/>
    <w:uiPriority w:val="59"/>
  </w:style>
  <w:style w:type="table" w:customStyle="1" w:styleId="792">
    <w:name w:val="Grid Table 4 - Accent 4"/>
    <w:basedOn w:val="702"/>
    <w:uiPriority w:val="59"/>
  </w:style>
  <w:style w:type="table" w:customStyle="1" w:styleId="793">
    <w:name w:val="Grid Table 4 - Accent 5"/>
    <w:basedOn w:val="702"/>
    <w:uiPriority w:val="59"/>
  </w:style>
  <w:style w:type="table" w:customStyle="1" w:styleId="794">
    <w:name w:val="Grid Table 4 - Accent 6"/>
    <w:basedOn w:val="702"/>
    <w:uiPriority w:val="59"/>
  </w:style>
  <w:style w:type="table" w:styleId="795">
    <w:name w:val="Grid Table 5 Dark"/>
    <w:basedOn w:val="702"/>
    <w:uiPriority w:val="99"/>
  </w:style>
  <w:style w:type="table" w:customStyle="1" w:styleId="796">
    <w:name w:val="Grid Table 5 Dark- Accent 1"/>
    <w:basedOn w:val="702"/>
    <w:uiPriority w:val="99"/>
  </w:style>
  <w:style w:type="table" w:customStyle="1" w:styleId="797">
    <w:name w:val="Grid Table 5 Dark - Accent 2"/>
    <w:basedOn w:val="702"/>
    <w:uiPriority w:val="99"/>
  </w:style>
  <w:style w:type="table" w:customStyle="1" w:styleId="798">
    <w:name w:val="Grid Table 5 Dark - Accent 3"/>
    <w:basedOn w:val="702"/>
    <w:uiPriority w:val="99"/>
  </w:style>
  <w:style w:type="table" w:customStyle="1" w:styleId="799">
    <w:name w:val="Grid Table 5 Dark- Accent 4"/>
    <w:basedOn w:val="702"/>
    <w:uiPriority w:val="99"/>
  </w:style>
  <w:style w:type="table" w:customStyle="1" w:styleId="800">
    <w:name w:val="Grid Table 5 Dark - Accent 5"/>
    <w:basedOn w:val="702"/>
    <w:uiPriority w:val="99"/>
  </w:style>
  <w:style w:type="table" w:customStyle="1" w:styleId="801">
    <w:name w:val="Grid Table 5 Dark - Accent 6"/>
    <w:basedOn w:val="702"/>
    <w:uiPriority w:val="99"/>
  </w:style>
  <w:style w:type="table" w:styleId="802">
    <w:name w:val="Grid Table 6 Colorful"/>
    <w:basedOn w:val="702"/>
    <w:uiPriority w:val="99"/>
  </w:style>
  <w:style w:type="table" w:customStyle="1" w:styleId="803">
    <w:name w:val="Grid Table 6 Colorful - Accent 1"/>
    <w:basedOn w:val="702"/>
    <w:uiPriority w:val="99"/>
  </w:style>
  <w:style w:type="table" w:customStyle="1" w:styleId="804">
    <w:name w:val="Grid Table 6 Colorful - Accent 2"/>
    <w:basedOn w:val="702"/>
    <w:uiPriority w:val="99"/>
  </w:style>
  <w:style w:type="table" w:customStyle="1" w:styleId="805">
    <w:name w:val="Grid Table 6 Colorful - Accent 3"/>
    <w:basedOn w:val="702"/>
    <w:uiPriority w:val="99"/>
  </w:style>
  <w:style w:type="table" w:customStyle="1" w:styleId="806">
    <w:name w:val="Grid Table 6 Colorful - Accent 4"/>
    <w:basedOn w:val="702"/>
    <w:uiPriority w:val="99"/>
  </w:style>
  <w:style w:type="table" w:customStyle="1" w:styleId="807">
    <w:name w:val="Grid Table 6 Colorful - Accent 5"/>
    <w:basedOn w:val="702"/>
    <w:uiPriority w:val="99"/>
  </w:style>
  <w:style w:type="table" w:customStyle="1" w:styleId="808">
    <w:name w:val="Grid Table 6 Colorful - Accent 6"/>
    <w:basedOn w:val="702"/>
    <w:uiPriority w:val="99"/>
  </w:style>
  <w:style w:type="table" w:styleId="809">
    <w:name w:val="Grid Table 7 Colorful"/>
    <w:basedOn w:val="702"/>
    <w:uiPriority w:val="99"/>
  </w:style>
  <w:style w:type="table" w:customStyle="1" w:styleId="810">
    <w:name w:val="Grid Table 7 Colorful - Accent 1"/>
    <w:basedOn w:val="702"/>
    <w:uiPriority w:val="99"/>
  </w:style>
  <w:style w:type="table" w:customStyle="1" w:styleId="811">
    <w:name w:val="Grid Table 7 Colorful - Accent 2"/>
    <w:basedOn w:val="702"/>
    <w:uiPriority w:val="99"/>
  </w:style>
  <w:style w:type="table" w:customStyle="1" w:styleId="812">
    <w:name w:val="Grid Table 7 Colorful - Accent 3"/>
    <w:basedOn w:val="702"/>
    <w:uiPriority w:val="99"/>
  </w:style>
  <w:style w:type="table" w:customStyle="1" w:styleId="813">
    <w:name w:val="Grid Table 7 Colorful - Accent 4"/>
    <w:basedOn w:val="702"/>
    <w:uiPriority w:val="99"/>
  </w:style>
  <w:style w:type="table" w:customStyle="1" w:styleId="814">
    <w:name w:val="Grid Table 7 Colorful - Accent 5"/>
    <w:basedOn w:val="702"/>
    <w:uiPriority w:val="99"/>
  </w:style>
  <w:style w:type="table" w:customStyle="1" w:styleId="815">
    <w:name w:val="Grid Table 7 Colorful - Accent 6"/>
    <w:basedOn w:val="702"/>
    <w:uiPriority w:val="99"/>
  </w:style>
  <w:style w:type="table" w:styleId="816">
    <w:name w:val="List Table 1 Light"/>
    <w:basedOn w:val="702"/>
    <w:uiPriority w:val="99"/>
  </w:style>
  <w:style w:type="table" w:customStyle="1" w:styleId="817">
    <w:name w:val="List Table 1 Light - Accent 1"/>
    <w:basedOn w:val="702"/>
    <w:uiPriority w:val="99"/>
  </w:style>
  <w:style w:type="table" w:customStyle="1" w:styleId="818">
    <w:name w:val="List Table 1 Light - Accent 2"/>
    <w:basedOn w:val="702"/>
    <w:uiPriority w:val="99"/>
  </w:style>
  <w:style w:type="table" w:customStyle="1" w:styleId="819">
    <w:name w:val="List Table 1 Light - Accent 3"/>
    <w:basedOn w:val="702"/>
    <w:uiPriority w:val="99"/>
  </w:style>
  <w:style w:type="table" w:customStyle="1" w:styleId="820">
    <w:name w:val="List Table 1 Light - Accent 4"/>
    <w:basedOn w:val="702"/>
    <w:uiPriority w:val="99"/>
  </w:style>
  <w:style w:type="table" w:customStyle="1" w:styleId="821">
    <w:name w:val="List Table 1 Light - Accent 5"/>
    <w:basedOn w:val="702"/>
    <w:uiPriority w:val="99"/>
  </w:style>
  <w:style w:type="table" w:customStyle="1" w:styleId="822">
    <w:name w:val="List Table 1 Light - Accent 6"/>
    <w:basedOn w:val="702"/>
    <w:uiPriority w:val="99"/>
  </w:style>
  <w:style w:type="table" w:styleId="823">
    <w:name w:val="List Table 2"/>
    <w:basedOn w:val="702"/>
    <w:uiPriority w:val="99"/>
  </w:style>
  <w:style w:type="table" w:customStyle="1" w:styleId="824">
    <w:name w:val="List Table 2 - Accent 1"/>
    <w:basedOn w:val="702"/>
    <w:uiPriority w:val="99"/>
  </w:style>
  <w:style w:type="table" w:customStyle="1" w:styleId="825">
    <w:name w:val="List Table 2 - Accent 2"/>
    <w:basedOn w:val="702"/>
    <w:uiPriority w:val="99"/>
  </w:style>
  <w:style w:type="table" w:customStyle="1" w:styleId="826">
    <w:name w:val="List Table 2 - Accent 3"/>
    <w:basedOn w:val="702"/>
    <w:uiPriority w:val="99"/>
  </w:style>
  <w:style w:type="table" w:customStyle="1" w:styleId="827">
    <w:name w:val="List Table 2 - Accent 4"/>
    <w:basedOn w:val="702"/>
    <w:uiPriority w:val="99"/>
  </w:style>
  <w:style w:type="table" w:customStyle="1" w:styleId="828">
    <w:name w:val="List Table 2 - Accent 5"/>
    <w:basedOn w:val="702"/>
    <w:uiPriority w:val="99"/>
  </w:style>
  <w:style w:type="table" w:customStyle="1" w:styleId="829">
    <w:name w:val="List Table 2 - Accent 6"/>
    <w:basedOn w:val="702"/>
    <w:uiPriority w:val="99"/>
  </w:style>
  <w:style w:type="table" w:styleId="830">
    <w:name w:val="List Table 3"/>
    <w:basedOn w:val="702"/>
    <w:uiPriority w:val="99"/>
  </w:style>
  <w:style w:type="table" w:customStyle="1" w:styleId="831">
    <w:name w:val="List Table 3 - Accent 1"/>
    <w:basedOn w:val="702"/>
    <w:uiPriority w:val="99"/>
  </w:style>
  <w:style w:type="table" w:customStyle="1" w:styleId="832">
    <w:name w:val="List Table 3 - Accent 2"/>
    <w:basedOn w:val="702"/>
    <w:uiPriority w:val="99"/>
  </w:style>
  <w:style w:type="table" w:customStyle="1" w:styleId="833">
    <w:name w:val="List Table 3 - Accent 3"/>
    <w:basedOn w:val="702"/>
    <w:uiPriority w:val="99"/>
  </w:style>
  <w:style w:type="table" w:customStyle="1" w:styleId="834">
    <w:name w:val="List Table 3 - Accent 4"/>
    <w:basedOn w:val="702"/>
    <w:uiPriority w:val="99"/>
  </w:style>
  <w:style w:type="table" w:customStyle="1" w:styleId="835">
    <w:name w:val="List Table 3 - Accent 5"/>
    <w:basedOn w:val="702"/>
    <w:uiPriority w:val="99"/>
  </w:style>
  <w:style w:type="table" w:customStyle="1" w:styleId="836">
    <w:name w:val="List Table 3 - Accent 6"/>
    <w:basedOn w:val="702"/>
    <w:uiPriority w:val="99"/>
  </w:style>
  <w:style w:type="table" w:styleId="837">
    <w:name w:val="List Table 4"/>
    <w:basedOn w:val="702"/>
    <w:uiPriority w:val="99"/>
  </w:style>
  <w:style w:type="table" w:customStyle="1" w:styleId="838">
    <w:name w:val="List Table 4 - Accent 1"/>
    <w:basedOn w:val="702"/>
    <w:uiPriority w:val="99"/>
  </w:style>
  <w:style w:type="table" w:customStyle="1" w:styleId="839">
    <w:name w:val="List Table 4 - Accent 2"/>
    <w:basedOn w:val="702"/>
    <w:uiPriority w:val="99"/>
  </w:style>
  <w:style w:type="table" w:customStyle="1" w:styleId="840">
    <w:name w:val="List Table 4 - Accent 3"/>
    <w:basedOn w:val="702"/>
    <w:uiPriority w:val="99"/>
  </w:style>
  <w:style w:type="table" w:customStyle="1" w:styleId="841">
    <w:name w:val="List Table 4 - Accent 4"/>
    <w:basedOn w:val="702"/>
    <w:uiPriority w:val="99"/>
  </w:style>
  <w:style w:type="table" w:customStyle="1" w:styleId="842">
    <w:name w:val="List Table 4 - Accent 5"/>
    <w:basedOn w:val="702"/>
    <w:uiPriority w:val="99"/>
  </w:style>
  <w:style w:type="table" w:customStyle="1" w:styleId="843">
    <w:name w:val="List Table 4 - Accent 6"/>
    <w:basedOn w:val="702"/>
    <w:uiPriority w:val="99"/>
  </w:style>
  <w:style w:type="table" w:styleId="844">
    <w:name w:val="List Table 5 Dark"/>
    <w:basedOn w:val="702"/>
    <w:uiPriority w:val="99"/>
  </w:style>
  <w:style w:type="table" w:customStyle="1" w:styleId="845">
    <w:name w:val="List Table 5 Dark - Accent 1"/>
    <w:basedOn w:val="702"/>
    <w:uiPriority w:val="99"/>
  </w:style>
  <w:style w:type="table" w:customStyle="1" w:styleId="846">
    <w:name w:val="List Table 5 Dark - Accent 2"/>
    <w:basedOn w:val="702"/>
    <w:uiPriority w:val="99"/>
  </w:style>
  <w:style w:type="table" w:customStyle="1" w:styleId="847">
    <w:name w:val="List Table 5 Dark - Accent 3"/>
    <w:basedOn w:val="702"/>
    <w:uiPriority w:val="99"/>
  </w:style>
  <w:style w:type="table" w:customStyle="1" w:styleId="848">
    <w:name w:val="List Table 5 Dark - Accent 4"/>
    <w:basedOn w:val="702"/>
    <w:uiPriority w:val="99"/>
  </w:style>
  <w:style w:type="table" w:customStyle="1" w:styleId="849">
    <w:name w:val="List Table 5 Dark - Accent 5"/>
    <w:basedOn w:val="702"/>
    <w:uiPriority w:val="99"/>
  </w:style>
  <w:style w:type="table" w:customStyle="1" w:styleId="850">
    <w:name w:val="List Table 5 Dark - Accent 6"/>
    <w:basedOn w:val="702"/>
    <w:uiPriority w:val="99"/>
  </w:style>
  <w:style w:type="table" w:styleId="851">
    <w:name w:val="List Table 6 Colorful"/>
    <w:basedOn w:val="702"/>
    <w:uiPriority w:val="99"/>
  </w:style>
  <w:style w:type="table" w:customStyle="1" w:styleId="852">
    <w:name w:val="List Table 6 Colorful - Accent 1"/>
    <w:basedOn w:val="702"/>
    <w:uiPriority w:val="99"/>
  </w:style>
  <w:style w:type="table" w:customStyle="1" w:styleId="853">
    <w:name w:val="List Table 6 Colorful - Accent 2"/>
    <w:basedOn w:val="702"/>
    <w:uiPriority w:val="99"/>
  </w:style>
  <w:style w:type="table" w:customStyle="1" w:styleId="854">
    <w:name w:val="List Table 6 Colorful - Accent 3"/>
    <w:basedOn w:val="702"/>
    <w:uiPriority w:val="99"/>
  </w:style>
  <w:style w:type="table" w:customStyle="1" w:styleId="855">
    <w:name w:val="List Table 6 Colorful - Accent 4"/>
    <w:basedOn w:val="702"/>
    <w:uiPriority w:val="99"/>
  </w:style>
  <w:style w:type="table" w:customStyle="1" w:styleId="856">
    <w:name w:val="List Table 6 Colorful - Accent 5"/>
    <w:basedOn w:val="702"/>
    <w:uiPriority w:val="99"/>
  </w:style>
  <w:style w:type="table" w:customStyle="1" w:styleId="857">
    <w:name w:val="List Table 6 Colorful - Accent 6"/>
    <w:basedOn w:val="702"/>
    <w:uiPriority w:val="99"/>
  </w:style>
  <w:style w:type="table" w:styleId="858">
    <w:name w:val="List Table 7 Colorful"/>
    <w:basedOn w:val="702"/>
    <w:uiPriority w:val="99"/>
  </w:style>
  <w:style w:type="table" w:customStyle="1" w:styleId="859">
    <w:name w:val="List Table 7 Colorful - Accent 1"/>
    <w:basedOn w:val="702"/>
    <w:uiPriority w:val="99"/>
  </w:style>
  <w:style w:type="table" w:customStyle="1" w:styleId="860">
    <w:name w:val="List Table 7 Colorful - Accent 2"/>
    <w:basedOn w:val="702"/>
    <w:uiPriority w:val="99"/>
  </w:style>
  <w:style w:type="table" w:customStyle="1" w:styleId="861">
    <w:name w:val="List Table 7 Colorful - Accent 3"/>
    <w:basedOn w:val="702"/>
    <w:uiPriority w:val="99"/>
  </w:style>
  <w:style w:type="table" w:customStyle="1" w:styleId="862">
    <w:name w:val="List Table 7 Colorful - Accent 4"/>
    <w:basedOn w:val="702"/>
    <w:uiPriority w:val="99"/>
  </w:style>
  <w:style w:type="table" w:customStyle="1" w:styleId="863">
    <w:name w:val="List Table 7 Colorful - Accent 5"/>
    <w:basedOn w:val="702"/>
    <w:uiPriority w:val="99"/>
  </w:style>
  <w:style w:type="table" w:customStyle="1" w:styleId="864">
    <w:name w:val="List Table 7 Colorful - Accent 6"/>
    <w:basedOn w:val="702"/>
    <w:uiPriority w:val="99"/>
  </w:style>
  <w:style w:type="table" w:customStyle="1" w:styleId="865">
    <w:name w:val="Lined - Accent"/>
    <w:basedOn w:val="702"/>
    <w:uiPriority w:val="99"/>
    <w:rPr>
      <w:lang w:eastAsia="ru-RU"/>
    </w:rPr>
  </w:style>
  <w:style w:type="table" w:customStyle="1" w:styleId="866">
    <w:name w:val="Lined - Accent 1"/>
    <w:basedOn w:val="702"/>
    <w:uiPriority w:val="99"/>
    <w:rPr>
      <w:lang w:eastAsia="ru-RU"/>
    </w:rPr>
  </w:style>
  <w:style w:type="table" w:customStyle="1" w:styleId="867">
    <w:name w:val="Lined - Accent 2"/>
    <w:basedOn w:val="702"/>
    <w:uiPriority w:val="99"/>
    <w:rPr>
      <w:lang w:eastAsia="ru-RU"/>
    </w:rPr>
  </w:style>
  <w:style w:type="table" w:customStyle="1" w:styleId="868">
    <w:name w:val="Lined - Accent 3"/>
    <w:basedOn w:val="702"/>
    <w:uiPriority w:val="99"/>
    <w:rPr>
      <w:lang w:eastAsia="ru-RU"/>
    </w:rPr>
  </w:style>
  <w:style w:type="table" w:customStyle="1" w:styleId="869">
    <w:name w:val="Lined - Accent 4"/>
    <w:basedOn w:val="702"/>
    <w:uiPriority w:val="99"/>
    <w:rPr>
      <w:lang w:eastAsia="ru-RU"/>
    </w:rPr>
  </w:style>
  <w:style w:type="table" w:customStyle="1" w:styleId="870">
    <w:name w:val="Lined - Accent 5"/>
    <w:basedOn w:val="702"/>
    <w:uiPriority w:val="99"/>
    <w:rPr>
      <w:lang w:eastAsia="ru-RU"/>
    </w:rPr>
  </w:style>
  <w:style w:type="table" w:customStyle="1" w:styleId="871">
    <w:name w:val="Lined - Accent 6"/>
    <w:basedOn w:val="702"/>
    <w:uiPriority w:val="99"/>
    <w:rPr>
      <w:lang w:eastAsia="ru-RU"/>
    </w:rPr>
  </w:style>
  <w:style w:type="table" w:customStyle="1" w:styleId="872">
    <w:name w:val="Bordered &amp; Lined - Accent"/>
    <w:basedOn w:val="702"/>
    <w:uiPriority w:val="99"/>
    <w:rPr>
      <w:lang w:eastAsia="ru-RU"/>
    </w:rPr>
  </w:style>
  <w:style w:type="table" w:customStyle="1" w:styleId="873">
    <w:name w:val="Bordered &amp; Lined - Accent 1"/>
    <w:basedOn w:val="702"/>
    <w:uiPriority w:val="99"/>
    <w:rPr>
      <w:lang w:eastAsia="ru-RU"/>
    </w:rPr>
  </w:style>
  <w:style w:type="table" w:customStyle="1" w:styleId="874">
    <w:name w:val="Bordered &amp; Lined - Accent 2"/>
    <w:basedOn w:val="702"/>
    <w:uiPriority w:val="99"/>
    <w:rPr>
      <w:lang w:eastAsia="ru-RU"/>
    </w:rPr>
  </w:style>
  <w:style w:type="table" w:customStyle="1" w:styleId="875">
    <w:name w:val="Bordered &amp; Lined - Accent 3"/>
    <w:basedOn w:val="702"/>
    <w:uiPriority w:val="99"/>
    <w:rPr>
      <w:lang w:eastAsia="ru-RU"/>
    </w:rPr>
  </w:style>
  <w:style w:type="table" w:customStyle="1" w:styleId="876">
    <w:name w:val="Bordered &amp; Lined - Accent 4"/>
    <w:basedOn w:val="702"/>
    <w:uiPriority w:val="99"/>
    <w:rPr>
      <w:lang w:eastAsia="ru-RU"/>
    </w:rPr>
  </w:style>
  <w:style w:type="table" w:customStyle="1" w:styleId="877">
    <w:name w:val="Bordered &amp; Lined - Accent 5"/>
    <w:basedOn w:val="702"/>
    <w:uiPriority w:val="99"/>
    <w:rPr>
      <w:lang w:eastAsia="ru-RU"/>
    </w:rPr>
  </w:style>
  <w:style w:type="table" w:customStyle="1" w:styleId="878">
    <w:name w:val="Bordered &amp; Lined - Accent 6"/>
    <w:basedOn w:val="702"/>
    <w:uiPriority w:val="99"/>
    <w:rPr>
      <w:lang w:eastAsia="ru-RU"/>
    </w:rPr>
  </w:style>
  <w:style w:type="table" w:customStyle="1" w:styleId="879">
    <w:name w:val="Bordered"/>
    <w:basedOn w:val="702"/>
    <w:uiPriority w:val="99"/>
  </w:style>
  <w:style w:type="table" w:customStyle="1" w:styleId="880">
    <w:name w:val="Bordered - Accent 1"/>
    <w:basedOn w:val="702"/>
    <w:uiPriority w:val="99"/>
  </w:style>
  <w:style w:type="table" w:customStyle="1" w:styleId="881">
    <w:name w:val="Bordered - Accent 2"/>
    <w:basedOn w:val="702"/>
    <w:uiPriority w:val="99"/>
  </w:style>
  <w:style w:type="table" w:customStyle="1" w:styleId="882">
    <w:name w:val="Bordered - Accent 3"/>
    <w:basedOn w:val="702"/>
    <w:uiPriority w:val="99"/>
  </w:style>
  <w:style w:type="table" w:customStyle="1" w:styleId="883">
    <w:name w:val="Bordered - Accent 4"/>
    <w:basedOn w:val="702"/>
    <w:uiPriority w:val="99"/>
  </w:style>
  <w:style w:type="table" w:customStyle="1" w:styleId="884">
    <w:name w:val="Bordered - Accent 5"/>
    <w:basedOn w:val="702"/>
    <w:uiPriority w:val="99"/>
  </w:style>
  <w:style w:type="table" w:customStyle="1" w:styleId="885">
    <w:name w:val="Bordered - Accent 6"/>
    <w:basedOn w:val="70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chart" Target="charts/chart1.xml"/><Relationship Id="rId5" Type="http://schemas.openxmlformats.org/officeDocument/2006/relationships/chart" Target="charts/chart2.xml"/><Relationship Id="rId6" Type="http://schemas.openxmlformats.org/officeDocument/2006/relationships/chart" Target="charts/chart3.xml"/><Relationship Id="rId7" Type="http://schemas.openxmlformats.org/officeDocument/2006/relationships/chart" Target="charts/chart4.xm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wmf"/><Relationship Id="rId11" Type="http://schemas.openxmlformats.org/officeDocument/2006/relationships/image" Target="media/image6.png"/><Relationship Id="rId12" Type="http://schemas.openxmlformats.org/officeDocument/2006/relationships/image" Target="media/image7.wmf"/><Relationship Id="rId13" Type="http://schemas.openxmlformats.org/officeDocument/2006/relationships/image" Target="media/image8.png"/><Relationship Id="rId14" Type="http://schemas.openxmlformats.org/officeDocument/2006/relationships/image" Target="media/image8.png"/><Relationship Id="rId15" Type="http://schemas.openxmlformats.org/officeDocument/2006/relationships/image" Target="media/image8.png"/><Relationship Id="rId16" Type="http://schemas.openxmlformats.org/officeDocument/2006/relationships/image" Target="media/image8.png"/><Relationship Id="rId17" Type="http://schemas.openxmlformats.org/officeDocument/2006/relationships/image" Target="media/image8.png"/><Relationship Id="rId18" Type="http://schemas.openxmlformats.org/officeDocument/2006/relationships/image" Target="media/image8.png"/><Relationship Id="rId19" Type="http://schemas.openxmlformats.org/officeDocument/2006/relationships/image" Target="media/image8.png"/><Relationship Id="rId20" Type="http://schemas.openxmlformats.org/officeDocument/2006/relationships/image" Target="media/image8.png"/><Relationship Id="rId21" Type="http://schemas.openxmlformats.org/officeDocument/2006/relationships/image" Target="media/image8.png"/><Relationship Id="rId22" Type="http://schemas.openxmlformats.org/officeDocument/2006/relationships/image" Target="media/image8.png"/><Relationship Id="rId23" Type="http://schemas.openxmlformats.org/officeDocument/2006/relationships/image" Target="media/image9.png"/><Relationship Id="rId24" Type="http://schemas.openxmlformats.org/officeDocument/2006/relationships/header" Target="header1.xml"/><Relationship Id="rId25" Type="http://schemas.openxmlformats.org/officeDocument/2006/relationships/numbering" Target="numbering.xml"/><Relationship Id="rId26" Type="http://schemas.openxmlformats.org/officeDocument/2006/relationships/fontTable" Target="fontTable.xml"/><Relationship Id="rId27" Type="http://schemas.openxmlformats.org/officeDocument/2006/relationships/settings" Target="settings.xml"/><Relationship Id="rId28" Type="http://schemas.openxmlformats.org/officeDocument/2006/relationships/theme" Target="theme/theme1.xml"/>
</Relationships>
</file>

<file path=word/charts/_rels/chart2.xml.rels><?xml version="1.0" encoding="UTF-8"?>
<Relationships xmlns="http://schemas.openxmlformats.org/package/2006/relationships"><Relationship Id="rId1" Type="http://schemas.openxmlformats.org/officeDocument/2006/relationships/chartUserShapes" Target="../drawings/drawing1.xml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view3D>
      <c:rotX val="90"/>
      <c:rotY val="0"/>
      <c:rAngAx val="1"/>
      <c:perspective val="30"/>
    </c:view3D>
    <c:floor>
      <c:spPr>
        <a:noFill/>
        <a:ln w="9360">
          <a:noFill/>
        </a:ln>
      </c:spPr>
    </c:floor>
    <c:sideWall>
      <c:spPr>
        <a:noFill/>
        <a:ln w="9360">
          <a:noFill/>
        </a:ln>
      </c:spPr>
    </c:sideWall>
    <c:backWall>
      <c:spPr>
        <a:noFill/>
        <a:ln w="9360">
          <a:noFill/>
        </a:ln>
      </c:spPr>
    </c:backWall>
    <c:plotArea>
      <c:layout>
        <c:manualLayout>
          <c:layoutTarget val="inner"/>
          <c:xMode val="edge"/>
          <c:yMode val="edge"/>
          <c:x val="0.2923125"/>
          <c:y val="0.06"/>
          <c:w val="0.635375"/>
          <c:h val="0.911222222222222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Столбец C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4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Lbls>
            <c:numFmt formatCode="#\ ##0.0" sourceLinked="0"/>
            <c:dLbl>
              <c:idx val="0"/>
              <c:layout>
                <c:manualLayout>
                  <c:x val="0.342502"/>
                  <c:y val="0.004849"/>
                </c:manualLayout>
              </c:layout>
              <c:numFmt formatCode="#\ ##0.0" sourceLinked="0"/>
              <c:txPr>
                <a:bodyPr wrap="square"/>
                <a:lstStyle/>
                <a:p>
                  <a:pPr>
                    <a:defRPr b="0" sz="900" spc="-1" strike="noStrike">
                      <a:solidFill>
                        <a:srgbClr val="40404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191289"/>
                  <c:y val="0.009697"/>
                </c:manualLayout>
              </c:layout>
              <c:numFmt formatCode="#\ ##0.0" sourceLinked="0"/>
              <c:txPr>
                <a:bodyPr wrap="square"/>
                <a:lstStyle/>
                <a:p>
                  <a:pPr>
                    <a:defRPr b="0" sz="900" spc="-1" strike="noStrike">
                      <a:solidFill>
                        <a:srgbClr val="40404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191753"/>
                  <c:y val="0.014545"/>
                </c:manualLayout>
              </c:layout>
              <c:numFmt formatCode="#\ ##0.0" sourceLinked="0"/>
              <c:txPr>
                <a:bodyPr wrap="square"/>
                <a:lstStyle/>
                <a:p>
                  <a:pPr>
                    <a:defRPr b="0" sz="900" spc="-1" strike="noStrike">
                      <a:solidFill>
                        <a:srgbClr val="40404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135972"/>
                  <c:y val="0.004849"/>
                </c:manualLayout>
              </c:layout>
              <c:numFmt formatCode="#\ ##0.0" sourceLinked="0"/>
              <c:txPr>
                <a:bodyPr wrap="square"/>
                <a:lstStyle/>
                <a:p>
                  <a:pPr>
                    <a:defRPr b="0" sz="900" spc="-1" strike="noStrike">
                      <a:solidFill>
                        <a:srgbClr val="40404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layout>
                <c:manualLayout>
                  <c:x val="0.155386"/>
                  <c:y val="0.009697"/>
                </c:manualLayout>
              </c:layout>
              <c:numFmt formatCode="#\ ##0.0" sourceLinked="0"/>
              <c:txPr>
                <a:bodyPr wrap="square"/>
                <a:lstStyle/>
                <a:p>
                  <a:pPr>
                    <a:defRPr b="0" sz="900" spc="-1" strike="noStrike">
                      <a:solidFill>
                        <a:srgbClr val="40404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  <a:ea typeface="Arial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6"/>
                <c:pt idx="0">
                  <c:v>город Краснодар</c:v>
                </c:pt>
                <c:pt idx="1">
                  <c:v>Северский район</c:v>
                </c:pt>
                <c:pt idx="2">
                  <c:v>Темрюкский район</c:v>
                </c:pt>
                <c:pt idx="3">
                  <c:v>г. Новороссийск</c:v>
                </c:pt>
                <c:pt idx="4">
                  <c:v>г. Сочи</c:v>
                </c:pt>
                <c:pt idx="5">
                  <c:v/>
                </c:pt>
              </c:strCache>
            </c:strRef>
          </c:cat>
          <c:val>
            <c:numRef>
              <c:f>0</c:f>
              <c:numCache>
                <c:formatCode>General</c:formatCode>
                <c:ptCount val="6"/>
                <c:pt idx="0">
                  <c:v>155.9</c:v>
                </c:pt>
                <c:pt idx="1">
                  <c:v>56.2</c:v>
                </c:pt>
                <c:pt idx="2">
                  <c:v>52.3</c:v>
                </c:pt>
                <c:pt idx="3">
                  <c:v>45.9</c:v>
                </c:pt>
                <c:pt idx="4">
                  <c:v>41.6</c:v>
                </c:pt>
              </c:numCache>
            </c:numRef>
          </c:val>
        </c:ser>
        <c:gapWidth val="100"/>
        <c:shape val="cylinder"/>
        <c:axId val="90716220"/>
        <c:axId val="14104412"/>
        <c:axId val="0"/>
      </c:bar3DChart>
      <c:catAx>
        <c:axId val="90716220"/>
        <c:scaling>
          <c:orientation val="maxMin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  <a:ea typeface="Arial"/>
              </a:defRPr>
            </a:pPr>
          </a:p>
        </c:txPr>
        <c:crossAx val="14104412"/>
        <c:crosses val="autoZero"/>
        <c:auto val="1"/>
        <c:lblAlgn val="ctr"/>
        <c:lblOffset val="100"/>
        <c:noMultiLvlLbl val="0"/>
      </c:catAx>
      <c:valAx>
        <c:axId val="14104412"/>
        <c:scaling>
          <c:orientation val="minMax"/>
        </c:scaling>
        <c:delete val="1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  <a:ea typeface="Arial"/>
              </a:defRPr>
            </a:pPr>
          </a:p>
        </c:txPr>
        <c:crossAx val="90716220"/>
        <c:crossBetween val="between"/>
      </c:valAx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000000"/>
                </a:solidFill>
                <a:latin typeface="PT Astra Serif"/>
                <a:ea typeface="Arial"/>
              </a:defRPr>
            </a:pPr>
            <a:r>
              <a:rPr b="0" sz="1400" spc="-1" strike="noStrike">
                <a:solidFill>
                  <a:srgbClr val="000000"/>
                </a:solidFill>
                <a:latin typeface="PT Astra Serif"/>
                <a:ea typeface="Arial"/>
              </a:rPr>
              <a:t>9 месяцев 2023</a:t>
            </a:r>
          </a:p>
        </c:rich>
      </c:tx>
      <c:overlay val="0"/>
      <c:spPr>
        <a:noFill/>
        <a:ln w="0">
          <a:noFill/>
        </a:ln>
      </c:spPr>
    </c:title>
    <c:autoTitleDeleted val="0"/>
    <c:view3D>
      <c:rotX val="30"/>
      <c:rotY val="0"/>
      <c:rAngAx val="0"/>
      <c:perspective val="30"/>
    </c:view3D>
    <c:floor>
      <c:spPr>
        <a:solidFill>
          <a:srgbClr val="d9d9d9"/>
        </a:solidFill>
        <a:ln w="0">
          <a:noFill/>
        </a:ln>
      </c:spPr>
    </c:floor>
    <c:sideWall>
      <c:spPr>
        <a:solidFill>
          <a:srgbClr val="d9d9d9"/>
        </a:solidFill>
        <a:ln w="0">
          <a:noFill/>
        </a:ln>
      </c:spPr>
    </c:sideWall>
    <c:backWall>
      <c:spPr>
        <a:solidFill>
          <a:srgbClr val="d9d9d9"/>
        </a:solidFill>
        <a:ln w="0">
          <a:noFill/>
        </a:ln>
      </c:spPr>
    </c:backWall>
    <c:plotArea>
      <c:layout>
        <c:manualLayout>
          <c:layoutTarget val="inner"/>
          <c:xMode val="edge"/>
          <c:yMode val="edge"/>
          <c:x val="0.0594375"/>
          <c:y val="0.186888888888889"/>
          <c:w val="0.88625"/>
          <c:h val="0.779888888888889"/>
        </c:manualLayout>
      </c:layout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Столбец F</c:v>
                </c:pt>
              </c:strCache>
            </c:strRef>
          </c:tx>
          <c:spPr>
            <a:solidFill>
              <a:srgbClr val="94b6d2"/>
            </a:solidFill>
            <a:ln w="0">
              <a:noFill/>
            </a:ln>
          </c:spPr>
          <c:explosion val="25"/>
          <c:dPt>
            <c:idx val="0"/>
            <c:explosion val="25"/>
            <c:spPr>
              <a:gradFill>
                <a:gsLst>
                  <a:gs pos="0">
                    <a:srgbClr val="6788a3"/>
                  </a:gs>
                  <a:gs pos="80000">
                    <a:srgbClr val="86b1d4"/>
                  </a:gs>
                  <a:gs pos="100000">
                    <a:srgbClr val="85b2d6"/>
                  </a:gs>
                </a:gsLst>
                <a:lin ang="16200000"/>
              </a:gradFill>
              <a:ln w="0">
                <a:noFill/>
              </a:ln>
            </c:spPr>
          </c:dPt>
          <c:dPt>
            <c:idx val="1"/>
            <c:explosion val="25"/>
            <c:spPr>
              <a:gradFill>
                <a:gsLst>
                  <a:gs pos="0">
                    <a:srgbClr val="b55b23"/>
                  </a:gs>
                  <a:gs pos="80000">
                    <a:srgbClr val="ec772e"/>
                  </a:gs>
                  <a:gs pos="100000">
                    <a:srgbClr val="f1762b"/>
                  </a:gs>
                </a:gsLst>
                <a:lin ang="16200000"/>
              </a:gradFill>
              <a:ln w="0">
                <a:noFill/>
              </a:ln>
            </c:spPr>
          </c:dPt>
          <c:dPt>
            <c:idx val="2"/>
            <c:explosion val="25"/>
            <c:spPr>
              <a:gradFill>
                <a:gsLst>
                  <a:gs pos="0">
                    <a:srgbClr val="7e845b"/>
                  </a:gs>
                  <a:gs pos="80000">
                    <a:srgbClr val="a3ab76"/>
                  </a:gs>
                  <a:gs pos="100000">
                    <a:srgbClr val="a5ad76"/>
                  </a:gs>
                </a:gsLst>
                <a:lin ang="16200000"/>
              </a:gradFill>
              <a:ln w="0">
                <a:noFill/>
              </a:ln>
            </c:spPr>
          </c:dPt>
          <c:dPt>
            <c:idx val="3"/>
            <c:explosion val="25"/>
            <c:spPr>
              <a:gradFill>
                <a:gsLst>
                  <a:gs pos="0">
                    <a:srgbClr val="af8936"/>
                  </a:gs>
                  <a:gs pos="80000">
                    <a:srgbClr val="e3b347"/>
                  </a:gs>
                  <a:gs pos="100000">
                    <a:srgbClr val="e7b544"/>
                  </a:gs>
                </a:gsLst>
                <a:lin ang="16200000"/>
              </a:gradFill>
              <a:ln w="0">
                <a:noFill/>
              </a:ln>
            </c:spPr>
          </c:dPt>
          <c:dLbls>
            <c:numFmt formatCode="0.0" sourceLinked="0"/>
            <c:dLbl>
              <c:idx val="0"/>
              <c:numFmt formatCode="0.0" sourceLinked="0"/>
              <c:txPr>
                <a:bodyPr wrap="square"/>
                <a:lstStyle/>
                <a:p>
                  <a:pPr>
                    <a:defRPr b="0" sz="9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0.0" sourceLinked="0"/>
              <c:txPr>
                <a:bodyPr wrap="square"/>
                <a:lstStyle/>
                <a:p>
                  <a:pPr>
                    <a:defRPr b="0" sz="9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numFmt formatCode="0.0" sourceLinked="0"/>
              <c:txPr>
                <a:bodyPr wrap="square"/>
                <a:lstStyle/>
                <a:p>
                  <a:pPr>
                    <a:defRPr b="0" sz="9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numFmt formatCode="0.0" sourceLinked="0"/>
              <c:txPr>
                <a:bodyPr wrap="square"/>
                <a:lstStyle/>
                <a:p>
                  <a:pPr>
                    <a:defRPr b="0" sz="9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0" sz="900" spc="-1" strike="noStrike">
                    <a:solidFill>
                      <a:srgbClr val="000000"/>
                    </a:solidFill>
                    <a:latin typeface="Calibri"/>
                    <a:ea typeface="Arial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</c:dLbls>
          <c:cat>
            <c:strRef>
              <c:f>categories</c:f>
              <c:strCache>
                <c:ptCount val="4"/>
                <c:pt idx="0">
                  <c:v>кредиты банков</c:v>
                </c:pt>
                <c:pt idx="1">
                  <c:v>заемные средства других организаций</c:v>
                </c:pt>
                <c:pt idx="2">
                  <c:v>бюджетные средства </c:v>
                </c:pt>
                <c:pt idx="3">
                  <c:v>прочие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4</c:v>
                </c:pt>
                <c:pt idx="1">
                  <c:v>17</c:v>
                </c:pt>
                <c:pt idx="2">
                  <c:v>74</c:v>
                </c:pt>
                <c:pt idx="3">
                  <c:v>5</c:v>
                </c:pt>
              </c:numCache>
            </c:numRef>
          </c:val>
        </c:ser>
      </c:pie3DChart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userShapes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lang="ru-RU" sz="1400" spc="-1" strike="noStrike">
                <a:solidFill>
                  <a:srgbClr val="595959"/>
                </a:solidFill>
                <a:latin typeface="PT Astra Serif"/>
                <a:ea typeface="Arial"/>
              </a:defRPr>
            </a:pPr>
            <a:r>
              <a:rPr b="0" lang="ru-RU" sz="1400" spc="-1" strike="noStrike">
                <a:solidFill>
                  <a:srgbClr val="595959"/>
                </a:solidFill>
                <a:latin typeface="PT Astra Serif"/>
                <a:ea typeface="Arial"/>
              </a:rPr>
              <a:t>9 месяцев 2024 года </a:t>
            </a:r>
          </a:p>
        </c:rich>
      </c:tx>
      <c:layout>
        <c:manualLayout>
          <c:xMode val="edge"/>
          <c:yMode val="edge"/>
          <c:x val="0.195836701697656"/>
          <c:y val="0.0137757369278625"/>
        </c:manualLayout>
      </c:layout>
      <c:overlay val="0"/>
      <c:spPr>
        <a:noFill/>
        <a:ln w="0">
          <a:noFill/>
        </a:ln>
      </c:spPr>
    </c:title>
    <c:autoTitleDeleted val="0"/>
    <c:view3D>
      <c:rotX val="30"/>
      <c:rotY val="0"/>
      <c:rAngAx val="0"/>
      <c:perspective val="30"/>
    </c:view3D>
    <c:floor>
      <c:spPr>
        <a:solidFill>
          <a:srgbClr val="d9d9d9"/>
        </a:solidFill>
        <a:ln w="0">
          <a:noFill/>
        </a:ln>
      </c:spPr>
    </c:floor>
    <c:sideWall>
      <c:spPr>
        <a:solidFill>
          <a:srgbClr val="d9d9d9"/>
        </a:solidFill>
        <a:ln w="0">
          <a:noFill/>
        </a:ln>
      </c:spPr>
    </c:sideWall>
    <c:backWall>
      <c:spPr>
        <a:solidFill>
          <a:srgbClr val="d9d9d9"/>
        </a:solidFill>
        <a:ln w="0">
          <a:noFill/>
        </a:ln>
      </c:spPr>
    </c:backWall>
    <c:plotArea>
      <c:layout>
        <c:manualLayout>
          <c:layoutTarget val="inner"/>
          <c:xMode val="edge"/>
          <c:yMode val="edge"/>
          <c:x val="0.006375"/>
          <c:y val="0.203777777777778"/>
          <c:w val="0.521125"/>
          <c:h val="0.607222222222222"/>
        </c:manualLayout>
      </c:layout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rgbClr val="94b6d2"/>
            </a:solidFill>
            <a:ln w="0">
              <a:noFill/>
            </a:ln>
          </c:spPr>
          <c:explosion val="25"/>
          <c:dPt>
            <c:idx val="0"/>
            <c:explosion val="25"/>
            <c:spPr>
              <a:gradFill>
                <a:gsLst>
                  <a:gs pos="0">
                    <a:srgbClr val="6788a3"/>
                  </a:gs>
                  <a:gs pos="80000">
                    <a:srgbClr val="86b1d4"/>
                  </a:gs>
                  <a:gs pos="100000">
                    <a:srgbClr val="85b2d6"/>
                  </a:gs>
                </a:gsLst>
                <a:lin ang="16200000"/>
              </a:gradFill>
              <a:ln w="0">
                <a:noFill/>
              </a:ln>
            </c:spPr>
          </c:dPt>
          <c:dPt>
            <c:idx val="1"/>
            <c:explosion val="29"/>
            <c:spPr>
              <a:gradFill>
                <a:gsLst>
                  <a:gs pos="0">
                    <a:srgbClr val="b55b23"/>
                  </a:gs>
                  <a:gs pos="80000">
                    <a:srgbClr val="ec772e"/>
                  </a:gs>
                  <a:gs pos="100000">
                    <a:srgbClr val="f1762b"/>
                  </a:gs>
                </a:gsLst>
                <a:lin ang="16200000"/>
              </a:gradFill>
              <a:ln w="0">
                <a:noFill/>
              </a:ln>
            </c:spPr>
          </c:dPt>
          <c:dPt>
            <c:idx val="2"/>
            <c:explosion val="25"/>
            <c:spPr>
              <a:gradFill>
                <a:gsLst>
                  <a:gs pos="0">
                    <a:srgbClr val="7e845b"/>
                  </a:gs>
                  <a:gs pos="80000">
                    <a:srgbClr val="a3ab76"/>
                  </a:gs>
                  <a:gs pos="100000">
                    <a:srgbClr val="a5ad76"/>
                  </a:gs>
                </a:gsLst>
                <a:lin ang="16200000"/>
              </a:gradFill>
              <a:ln w="0">
                <a:noFill/>
              </a:ln>
            </c:spPr>
          </c:dPt>
          <c:dPt>
            <c:idx val="3"/>
            <c:explosion val="25"/>
            <c:spPr>
              <a:gradFill>
                <a:gsLst>
                  <a:gs pos="0">
                    <a:srgbClr val="af8936"/>
                  </a:gs>
                  <a:gs pos="80000">
                    <a:srgbClr val="e3b347"/>
                  </a:gs>
                  <a:gs pos="100000">
                    <a:srgbClr val="e7b544"/>
                  </a:gs>
                </a:gsLst>
                <a:lin ang="16200000"/>
              </a:gradFill>
              <a:ln w="0">
                <a:noFill/>
              </a:ln>
            </c:spPr>
          </c:dPt>
          <c:dLbls>
            <c:numFmt formatCode="0.0" sourceLinked="0"/>
            <c:dLbl>
              <c:idx val="0"/>
              <c:numFmt formatCode="0.0" sourceLinked="0"/>
              <c:txPr>
                <a:bodyPr wrap="square"/>
                <a:lstStyle/>
                <a:p>
                  <a:pPr>
                    <a:defRPr b="0" sz="9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0.0" sourceLinked="0"/>
              <c:txPr>
                <a:bodyPr wrap="square"/>
                <a:lstStyle/>
                <a:p>
                  <a:pPr>
                    <a:defRPr b="0" sz="9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numFmt formatCode="0.0" sourceLinked="0"/>
              <c:txPr>
                <a:bodyPr wrap="square"/>
                <a:lstStyle/>
                <a:p>
                  <a:pPr>
                    <a:defRPr b="0" sz="9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numFmt formatCode="0.0" sourceLinked="0"/>
              <c:txPr>
                <a:bodyPr wrap="square"/>
                <a:lstStyle/>
                <a:p>
                  <a:pPr>
                    <a:defRPr b="0" sz="9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0" sz="900" spc="-1" strike="noStrike">
                    <a:solidFill>
                      <a:srgbClr val="000000"/>
                    </a:solidFill>
                    <a:latin typeface="Calibri"/>
                    <a:ea typeface="Arial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</c:dLbls>
          <c:cat>
            <c:strRef>
              <c:f>categories</c:f>
              <c:strCache>
                <c:ptCount val="4"/>
                <c:pt idx="0">
                  <c:v>кредиты банков</c:v>
                </c:pt>
                <c:pt idx="1">
                  <c:v>заемные средства других организаций</c:v>
                </c:pt>
                <c:pt idx="2">
                  <c:v>бюджетные средства </c:v>
                </c:pt>
                <c:pt idx="3">
                  <c:v>прочие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4</c:v>
                </c:pt>
                <c:pt idx="1">
                  <c:v>24</c:v>
                </c:pt>
                <c:pt idx="2">
                  <c:v>66</c:v>
                </c:pt>
                <c:pt idx="3">
                  <c:v>6</c:v>
                </c:pt>
              </c:numCache>
            </c:numRef>
          </c:val>
        </c:ser>
      </c:pie3DChart>
    </c:plotArea>
    <c:legend>
      <c:legendPos val="b"/>
      <c:layout>
        <c:manualLayout>
          <c:xMode val="edge"/>
          <c:yMode val="edge"/>
          <c:x val="0.5986875"/>
          <c:y val="0.235"/>
          <c:w val="0.394462153884618"/>
          <c:h val="0.739082120235582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b="0" sz="900" spc="-1" strike="noStrike">
              <a:solidFill>
                <a:srgbClr val="000000"/>
              </a:solidFill>
              <a:latin typeface="Calibri"/>
              <a:ea typeface="Arial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view3D>
      <c:rotX val="15"/>
      <c:rotY val="20"/>
      <c:rAngAx val="1"/>
      <c:perspective val="30"/>
    </c:view3D>
    <c:floor>
      <c:spPr>
        <a:noFill/>
        <a:ln w="9360">
          <a:noFill/>
        </a:ln>
      </c:spPr>
    </c:floor>
    <c:sideWall>
      <c:spPr>
        <a:noFill/>
        <a:ln w="9360">
          <a:noFill/>
        </a:ln>
      </c:spPr>
    </c:sideWall>
    <c:backWall>
      <c:spPr>
        <a:noFill/>
        <a:ln w="9360">
          <a:noFill/>
        </a:ln>
      </c:spPr>
    </c:backWall>
    <c:plotArea>
      <c:layout>
        <c:manualLayout>
          <c:layoutTarget val="inner"/>
          <c:xMode val="edge"/>
          <c:yMode val="edge"/>
          <c:x val="0.0035"/>
          <c:y val="0.0466666666666667"/>
          <c:w val="0.9946875"/>
          <c:h val="0.57011111111111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9 мес 2024 года</c:v>
                </c:pt>
              </c:strCache>
            </c:strRef>
          </c:tx>
          <c:spPr>
            <a:solidFill>
              <a:srgbClr val="94b6d2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94b6d2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94b6d2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94b6d2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94b6d2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01873"/>
                  <c:y val="-0.020566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0" sz="900" spc="-1" strike="noStrike">
                      <a:solidFill>
                        <a:srgbClr val="40404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11236"/>
                  <c:y val="-0.010283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0" sz="900" spc="-1" strike="noStrike">
                      <a:solidFill>
                        <a:srgbClr val="40404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09363"/>
                  <c:y val="-0.010283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0" sz="900" spc="-1" strike="noStrike">
                      <a:solidFill>
                        <a:srgbClr val="40404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-0.011236"/>
                  <c:y val="-0.000325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0" sz="900" spc="-1" strike="noStrike">
                      <a:solidFill>
                        <a:srgbClr val="40404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  <a:ea typeface="Arial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кредиты банков</c:v>
                </c:pt>
                <c:pt idx="1">
                  <c:v>заемные средства других организаций</c:v>
                </c:pt>
                <c:pt idx="2">
                  <c:v>бюджетные средства </c:v>
                </c:pt>
                <c:pt idx="3">
                  <c:v>прочие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2.2</c:v>
                </c:pt>
                <c:pt idx="1">
                  <c:v>12.2</c:v>
                </c:pt>
                <c:pt idx="2">
                  <c:v>33.5</c:v>
                </c:pt>
                <c:pt idx="3">
                  <c:v>3.1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9 мес 2023 года</c:v>
                </c:pt>
              </c:strCache>
            </c:strRef>
          </c:tx>
          <c:spPr>
            <a:solidFill>
              <a:srgbClr val="dd8047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dd8047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dd8047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dd8047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dd8047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26094"/>
                  <c:y val="-0.02205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0" sz="900" spc="-1" strike="noStrike">
                      <a:solidFill>
                        <a:srgbClr val="40404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23853"/>
                  <c:y val="-0.012002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0" sz="900" spc="-1" strike="noStrike">
                      <a:solidFill>
                        <a:srgbClr val="40404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20599"/>
                  <c:y val="-0.017625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0" sz="900" spc="-1" strike="noStrike">
                      <a:solidFill>
                        <a:srgbClr val="40404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13109"/>
                  <c:y val="-0.010526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0" sz="900" spc="-1" strike="noStrike">
                      <a:solidFill>
                        <a:srgbClr val="40404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  <a:ea typeface="Arial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кредиты банков</c:v>
                </c:pt>
                <c:pt idx="1">
                  <c:v>заемные средства других организаций</c:v>
                </c:pt>
                <c:pt idx="2">
                  <c:v>бюджетные средства </c:v>
                </c:pt>
                <c:pt idx="3">
                  <c:v>прочие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2.1</c:v>
                </c:pt>
                <c:pt idx="1">
                  <c:v>8.7</c:v>
                </c:pt>
                <c:pt idx="2">
                  <c:v>38.1</c:v>
                </c:pt>
                <c:pt idx="3">
                  <c:v>2.9</c:v>
                </c:pt>
              </c:numCache>
            </c:numRef>
          </c:val>
        </c:ser>
        <c:gapWidth val="150"/>
        <c:shape val="box"/>
        <c:axId val="98524378"/>
        <c:axId val="67794913"/>
        <c:axId val="0"/>
      </c:bar3DChart>
      <c:catAx>
        <c:axId val="9852437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  <a:ea typeface="Arial"/>
              </a:defRPr>
            </a:pPr>
          </a:p>
        </c:txPr>
        <c:crossAx val="67794913"/>
        <c:crosses val="autoZero"/>
        <c:auto val="1"/>
        <c:lblAlgn val="ctr"/>
        <c:lblOffset val="100"/>
        <c:noMultiLvlLbl val="0"/>
      </c:catAx>
      <c:valAx>
        <c:axId val="67794913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minorGridlines>
          <c:spPr>
            <a:ln w="9360">
              <a:solidFill>
                <a:srgbClr val="f2f2f2"/>
              </a:solidFill>
              <a:round/>
            </a:ln>
          </c:spPr>
        </c:minorGridlines>
        <c:numFmt formatCode="General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  <a:ea typeface="Arial"/>
              </a:defRPr>
            </a:pPr>
          </a:p>
        </c:txPr>
        <c:crossAx val="98524378"/>
        <c:crosses val="autoZero"/>
        <c:crossBetween val="between"/>
      </c:valAx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  <a:ea typeface="Arial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</c:chartSpace>
</file>

<file path=word/drawings/drawing1.xml><?xml version="1.0" encoding="utf-8"?>
<c:userShapes xmlns:cdr="http://schemas.openxmlformats.org/drawingml/2006/chartDrawing" xmlns:a="http://schemas.openxmlformats.org/drawingml/2006/main" xmlns:c="http://schemas.openxmlformats.org/drawingml/2006/chart" xmlns:r="http://schemas.openxmlformats.org/officeDocument/2006/relationships">
  <cdr:relSizeAnchor>
    <cdr:from>
      <cdr:x>0.747435205183585</cdr:x>
      <cdr:y>0.0844444444444445</cdr:y>
    </cdr:from>
    <cdr:to>
      <cdr:x>0.946409287257019</cdr:x>
      <cdr:y>0.416592592592593</cdr:y>
    </cdr:to>
    <cdr:sp>
      <cdr:nvSpPr>
        <cdr:cNvPr id="4" name="TextBox 1"/>
        <cdr:cNvSpPr/>
      </cdr:nvSpPr>
      <cdr:spPr>
        <a:xfrm>
          <a:off x="0" y="0"/>
          <a:ext cx="530640" cy="807120"/>
        </a:xfrm>
        <a:prstGeom prst="rect">
          <a:avLst/>
        </a:prstGeom>
        <a:noFill/>
        <a:ln w="0">
          <a:noFill/>
        </a:ln>
      </cdr:spPr>
      <cdr:style>
        <a:lnRef idx="0"/>
        <a:fillRef idx="0"/>
        <a:effectRef idx="0"/>
        <a:fontRef idx="minor"/>
      </cdr:style>
    </cdr:sp>
  </cdr:relSizeAnchor>
</c:userShape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Application>LibreOffice/7.6.7.2$Linux_X86_64 LibreOffice_project/60$Build-2</Application>
  <AppVersion>15.0000</AppVersion>
  <Pages>8</Pages>
  <Words>1150</Words>
  <Characters>6866</Characters>
  <CharactersWithSpaces>8017</CharactersWithSpaces>
  <Paragraphs>125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2024-09-23T11:06:00Z</dcterms:created>
  <dc:creator>Павел</dc:creator>
  <dc:description/>
  <dc:language>ru-RU</dc:language>
  <cp:lastModifiedBy/>
  <dcterms:modified xsi:type="dcterms:W3CDTF">2025-01-10T10:11:29Z</dcterms:modified>
  <cp:revision>61</cp:revision>
  <dc:subject/>
  <dc:title/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